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43"/>
    <w:p w14:paraId="04F99937" w14:textId="77777777" w:rsidR="007E1815" w:rsidRDefault="007E1815" w:rsidP="007E1815">
      <w:pPr>
        <w:pStyle w:val="Annexetitre"/>
      </w:pPr>
      <w:r w:rsidRPr="007F4CC8">
        <w:fldChar w:fldCharType="begin"/>
      </w:r>
      <w:r w:rsidRPr="007F4CC8">
        <w:fldChar w:fldCharType="separate"/>
      </w:r>
      <w:r w:rsidRPr="007F4CC8">
        <w:rPr>
          <w:noProof/>
        </w:rPr>
        <w:drawing>
          <wp:inline distT="0" distB="0" distL="0" distR="0" wp14:anchorId="3E536F19" wp14:editId="21D9DC6A">
            <wp:extent cx="5569585" cy="846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9585" cy="8464550"/>
                    </a:xfrm>
                    <a:prstGeom prst="rect">
                      <a:avLst/>
                    </a:prstGeom>
                    <a:noFill/>
                    <a:ln>
                      <a:noFill/>
                    </a:ln>
                  </pic:spPr>
                </pic:pic>
              </a:graphicData>
            </a:graphic>
          </wp:inline>
        </w:drawing>
      </w:r>
      <w:r w:rsidRPr="007F4CC8">
        <w:fldChar w:fldCharType="end"/>
      </w:r>
      <w:r>
        <w:t>ΠΑΡΑΡΤΗΜΑ XIV – Οδηγίες για τα υποδείγματα απαιτήσεων ρευστότητας</w:t>
      </w:r>
    </w:p>
    <w:p w14:paraId="76777DFC" w14:textId="77777777" w:rsidR="007E1815" w:rsidRPr="007E1815" w:rsidRDefault="007E1815" w:rsidP="007E1815"/>
    <w:p w14:paraId="612936CA" w14:textId="77777777" w:rsidR="007E1815" w:rsidRPr="007F4CC8" w:rsidRDefault="007E1815" w:rsidP="007E1815">
      <w:pPr>
        <w:spacing w:before="120" w:after="120"/>
        <w:jc w:val="both"/>
        <w:rPr>
          <w:rFonts w:ascii="Times New Roman" w:hAnsi="Times New Roman" w:cs="Times New Roman"/>
          <w:b/>
          <w:sz w:val="24"/>
        </w:rPr>
      </w:pPr>
      <w:r>
        <w:rPr>
          <w:rFonts w:ascii="Times New Roman" w:hAnsi="Times New Roman"/>
          <w:b/>
          <w:sz w:val="24"/>
        </w:rPr>
        <w:t xml:space="preserve">Οδηγίες για τον πίνακα EU LIQA σχετικά με τη διαχείριση του κινδύνου ρευστότητας και για το υπόδειγμα EU LIQ1 σχετικά με την κάλυψη κινδύνων ρευστότητας </w:t>
      </w:r>
    </w:p>
    <w:p w14:paraId="0527C22C"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b/>
          <w:sz w:val="24"/>
        </w:rPr>
      </w:pPr>
      <w:r>
        <w:rPr>
          <w:rFonts w:ascii="Times New Roman" w:hAnsi="Times New Roman"/>
          <w:sz w:val="24"/>
        </w:rPr>
        <w:t>Τα ιδρύματα που υπόκεινται στο έκτο μέρος του κανονισμού (ΕΕ) αριθ. 575/2013</w:t>
      </w:r>
      <w:r w:rsidRPr="007F4CC8">
        <w:rPr>
          <w:rStyle w:val="FootnoteReference"/>
          <w:rFonts w:ascii="Times New Roman" w:hAnsi="Times New Roman" w:cs="Times New Roman"/>
          <w:sz w:val="24"/>
        </w:rPr>
        <w:footnoteReference w:id="1"/>
      </w:r>
      <w:r>
        <w:rPr>
          <w:rFonts w:ascii="Times New Roman" w:hAnsi="Times New Roman"/>
          <w:sz w:val="24"/>
        </w:rPr>
        <w:t xml:space="preserve"> («ΚΚΑ») δημοσιοποιούν τις πληροφορίες που αναφέρονται στο άρθρο 451α του ΚΚΑ συμπληρώνοντας τον πίνακα EU-LIQA, το υπόδειγμα EU LIQ1 και τον πίνακα EU LIQB.</w:t>
      </w:r>
      <w:bookmarkEnd w:id="0"/>
      <w:r>
        <w:rPr>
          <w:rFonts w:ascii="Times New Roman" w:hAnsi="Times New Roman"/>
          <w:b/>
          <w:sz w:val="24"/>
        </w:rPr>
        <w:t xml:space="preserve"> </w:t>
      </w:r>
    </w:p>
    <w:p w14:paraId="6150BCD7" w14:textId="77777777" w:rsidR="007E1815" w:rsidRPr="00DD0C4D" w:rsidRDefault="007E1815" w:rsidP="007E1815">
      <w:pPr>
        <w:pStyle w:val="Titlelevel2"/>
        <w:spacing w:before="120" w:after="120"/>
        <w:rPr>
          <w:rFonts w:ascii="Times New Roman" w:hAnsi="Times New Roman"/>
          <w:b/>
          <w:color w:val="auto"/>
          <w:sz w:val="24"/>
        </w:rPr>
      </w:pPr>
      <w:bookmarkStart w:id="1" w:name="bookmark44"/>
      <w:r>
        <w:rPr>
          <w:rFonts w:ascii="Times New Roman" w:hAnsi="Times New Roman"/>
          <w:b/>
          <w:color w:val="auto"/>
          <w:sz w:val="24"/>
        </w:rPr>
        <w:t xml:space="preserve">Πίνακας EU-LIQA – Διαχείριση κινδύνου ρευστότητας </w:t>
      </w:r>
    </w:p>
    <w:p w14:paraId="71698069"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Τα ιδρύματα που υπόκεινται στο έκτο μέρος του KKA δημοσιοποιούν τις πληροφορίες που αναφέρονται στο άρθρο 451α παράγραφος 4 του ΚΚΑ ακολουθώντας τις οδηγίες που παρέχονται παρακάτω στο παρόν παράρτημα για τη συμπλήρωση του πίνακα EU LIQA, ο οποίος παρατίθεται στο παράρτημα XIII του παρόντος εκτελεστικού κανονισμού.</w:t>
      </w:r>
    </w:p>
    <w:p w14:paraId="77702318"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Για τους σκοπούς του πίνακα EU LIQA, τα ιδρύματα που υπόκεινται στο έκτο μέρος του KKA συμπληρώνουν τα πλαίσια κειμένου που προβλέπονται στον πίνακα ως πλαίσια ελεύθερου κειμένου. Παρέχουν σχετικές πληροφορίες, τόσο ποιοτικές όσο και ποσοτικές, σχετικά με τους στόχους της διαχείρισης κινδύνου και τις πολιτικές για τον κίνδυνο ρευστότητας, ανάλογα με τα επιχειρηματικά τους μοντέλα και τα προφίλ κινδύνου ρευστότητας, την οργάνωση και τα τμήματα που συμμετέχουν στη διαχείριση του κινδύνου ρευστότητας, σύμφωνα με το άρθρο 435 παράγραφος 1 του ΚΚΑ και με τον κατ’ εξουσιοδότηση κανονισμό (ΕΕ) 2015/61</w:t>
      </w:r>
      <w:r w:rsidRPr="007F4CC8">
        <w:rPr>
          <w:rStyle w:val="FootnoteReference"/>
          <w:rFonts w:ascii="Times New Roman" w:hAnsi="Times New Roman" w:cs="Times New Roman"/>
          <w:sz w:val="24"/>
        </w:rPr>
        <w:footnoteReference w:id="2"/>
      </w:r>
      <w:r>
        <w:rPr>
          <w:rFonts w:ascii="Times New Roman" w:hAnsi="Times New Roman"/>
          <w:sz w:val="24"/>
        </w:rPr>
        <w:t xml:space="preserve"> της Επιτροπής όσον αφορά την απαίτηση κάλυψης του κινδύνου ρευστότητας για τα πιστωτικά ιδρύματα. </w:t>
      </w:r>
    </w:p>
    <w:p w14:paraId="23FF3FBD"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Υπόδειγμα EU LIQ1 – Ποσοτικές πληροφορίες σχετικά με την κάλυψη κινδύνων ρευστότητας</w:t>
      </w:r>
    </w:p>
    <w:bookmarkEnd w:id="1"/>
    <w:p w14:paraId="123CFE6B" w14:textId="70A8F63F"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που υπόκεινται στο έκτο μέρος του KKA δημοσιοποιούν τις πληροφορίες που αναφέρονται στο άρθρο 451α παράγραφος 2 του ΚΚΑ ακολουθώντας τις οδηγίες που παρέχονται παρακάτω στο παρόν παράρτημα για τη συμπλήρωση του υποδείγματος EU LIQ1, το οποίο παρατίθεται στο παράρτημα XIII των λύσεων ΤΠ της ΕΑΤ.</w:t>
      </w:r>
    </w:p>
    <w:p w14:paraId="48F910A8"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Κατά τη δημοσιοποίηση των πληροφοριών που απαιτούνται στο παρόν υπόδειγμα, τα ιδρύματα που υπόκεινται στο έκτο μέρος του KKA περιλαμβάνουν τις τιμές και τα αριθμητικά στοιχεία που απαιτούνται για καθένα από τα τέσσερα ημερολογιακά τρίμηνα (Ιανουάριος-Μάρτιος, Απρίλιος-Ιούνιος, Ιούλιος-Σεπτέμβριος, Οκτώβριος-Δεκέμβριος) πριν από την ημερομηνία δημοσιοποίησης. Τα ιδρύματα υπολογίζουν αυτές τις τιμές και τα αριθμητικά στοιχεία απλά ως τους μέσους όρους των παρατηρήσεων στο τέλος του μήνα για τους δώδεκα μήνες που προηγούνται του τέλους κάθε τριμήνου.</w:t>
      </w:r>
    </w:p>
    <w:p w14:paraId="1600E94E"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 xml:space="preserve">Οι πληροφορίες που απαιτούνται στο υπόδειγμα EU LIQ1 περιλαμβάνουν όλα τα </w:t>
      </w:r>
      <w:r>
        <w:rPr>
          <w:rFonts w:ascii="Times New Roman" w:hAnsi="Times New Roman"/>
          <w:sz w:val="24"/>
        </w:rPr>
        <w:lastRenderedPageBreak/>
        <w:t>στοιχεία ανεξάρτητα από το νόμισμα στο οποίο είναι εκπεφρασμένα και δημοσιοποιούνται στο νόμισμα αναφοράς όπως ορίζεται στο άρθρο 3 του κατ’ εξουσιοδότηση κανονισμού (ΕΕ) 2015/61 της Επιτροπής.</w:t>
      </w:r>
    </w:p>
    <w:p w14:paraId="3C031ADF"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Για τον υπολογισμό των μη σταθμισμένων και των σταθμισμένων εισροών και εκροών και των υψηλής ποιότητας ρευστών διαθέσιμων (HQLA) για τους σκοπούς του υποδείγματος EU LIQ1, τα ιδρύματα εφαρμόζουν τις ακόλουθες οδηγίες:</w:t>
      </w:r>
    </w:p>
    <w:p w14:paraId="5E2AA611"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Εισροές/εκροές: η μη σταθμισμένη αξία των εισροών και εκροών υπολογίζεται ως το εκκρεμές υπόλοιπο διαφόρων κατηγοριών ή τύπων υποχρεώσεων, στοιχείων εκτός ισολογισμού ή συμβατικών απαιτήσεων. Η «σταθμισμένη» αξία για τις εισροές και εκροές υπολογίζεται ως η αξία μετά την εφαρμογή των ποσοστών εισροών και εκροών.</w:t>
      </w:r>
    </w:p>
    <w:p w14:paraId="2531B7D7" w14:textId="77777777" w:rsidR="007E1815" w:rsidRPr="007F4CC8" w:rsidRDefault="007E1815" w:rsidP="007E1815">
      <w:pPr>
        <w:widowControl w:val="0"/>
        <w:numPr>
          <w:ilvl w:val="0"/>
          <w:numId w:val="3"/>
        </w:numPr>
        <w:tabs>
          <w:tab w:val="left" w:pos="1445"/>
        </w:tabs>
        <w:spacing w:before="120" w:after="120"/>
        <w:ind w:left="720" w:hanging="360"/>
        <w:jc w:val="both"/>
        <w:rPr>
          <w:rFonts w:ascii="Times New Roman" w:hAnsi="Times New Roman" w:cs="Times New Roman"/>
          <w:sz w:val="24"/>
        </w:rPr>
      </w:pPr>
      <w:r>
        <w:rPr>
          <w:rFonts w:ascii="Times New Roman" w:hAnsi="Times New Roman"/>
          <w:sz w:val="24"/>
        </w:rPr>
        <w:t>HQLA: η σταθμισμένη αξία των υψηλής ποιότητας ρευστών στοιχείων ενεργητικού (HQLA) υπολογίζεται ως η αξία μετά την εφαρμογή των ποσοστών περικοπής.</w:t>
      </w:r>
    </w:p>
    <w:p w14:paraId="7F666887" w14:textId="77777777" w:rsidR="007E1815" w:rsidRPr="007F4CC8" w:rsidRDefault="007E1815" w:rsidP="007E1815">
      <w:pPr>
        <w:widowControl w:val="0"/>
        <w:numPr>
          <w:ilvl w:val="0"/>
          <w:numId w:val="2"/>
        </w:numPr>
        <w:tabs>
          <w:tab w:val="left" w:pos="983"/>
        </w:tabs>
        <w:spacing w:before="120" w:after="120"/>
        <w:ind w:left="720" w:hanging="360"/>
        <w:jc w:val="both"/>
        <w:rPr>
          <w:rFonts w:ascii="Times New Roman" w:hAnsi="Times New Roman" w:cs="Times New Roman"/>
          <w:sz w:val="24"/>
        </w:rPr>
      </w:pPr>
      <w:r>
        <w:rPr>
          <w:rFonts w:ascii="Times New Roman" w:hAnsi="Times New Roman"/>
          <w:sz w:val="24"/>
        </w:rPr>
        <w:t>Για να υπολογιστεί η προσαρμοσμένη αξία του αποθέματος ασφαλείας ρευστότητας στο στοιχείο 21 και η προσαρμοσμένη αξία των συνολικών καθαρών ταμειακών εκροών στο στοιχείο 22 του υποδείγματος EU LIQ1, τα ιδρύματα εφαρμόζουν καθεμία από τις ακόλουθες οδηγίες:</w:t>
      </w:r>
    </w:p>
    <w:p w14:paraId="16C4F071"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η προσαρμοσμένη αξία του αποθέματος ασφαλείας ρευστότητας είναι η τιμή των συνολικών HQLA μετά την εφαρμογή και των δύο ποσοστών περικοπής και οποιουδήποτε ισχύοντος ανώτατου ορίου·</w:t>
      </w:r>
    </w:p>
    <w:p w14:paraId="1C48DA06" w14:textId="77777777" w:rsidR="007E1815" w:rsidRPr="007F4CC8" w:rsidRDefault="007E1815" w:rsidP="007E1815">
      <w:pPr>
        <w:widowControl w:val="0"/>
        <w:numPr>
          <w:ilvl w:val="0"/>
          <w:numId w:val="4"/>
        </w:numPr>
        <w:tabs>
          <w:tab w:val="left" w:pos="1446"/>
        </w:tabs>
        <w:spacing w:before="120" w:after="120"/>
        <w:ind w:left="720" w:hanging="360"/>
        <w:jc w:val="both"/>
        <w:rPr>
          <w:rFonts w:ascii="Times New Roman" w:hAnsi="Times New Roman" w:cs="Times New Roman"/>
          <w:sz w:val="24"/>
        </w:rPr>
      </w:pPr>
      <w:r>
        <w:rPr>
          <w:rFonts w:ascii="Times New Roman" w:hAnsi="Times New Roman"/>
          <w:sz w:val="24"/>
        </w:rPr>
        <w:t>η προσαρμοσμένη αξία των καθαρών ταμειακών εκροών υπολογίζεται κατά περίπτωση, μετά την εφαρμογή του ανώτατου ορίου εισροών.</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E1815" w:rsidRPr="007F4CC8" w14:paraId="17A9E0F0"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0C9C9" w14:textId="77777777" w:rsidR="007E1815" w:rsidRPr="007F4CC8" w:rsidRDefault="007E1815" w:rsidP="00D819DE">
            <w:pPr>
              <w:spacing w:after="120"/>
              <w:rPr>
                <w:rFonts w:ascii="Times New Roman" w:hAnsi="Times New Roman" w:cs="Times New Roman"/>
                <w:b/>
                <w:sz w:val="24"/>
              </w:rPr>
            </w:pPr>
            <w:r>
              <w:rPr>
                <w:rFonts w:ascii="Times New Roman" w:hAnsi="Times New Roman"/>
                <w:b/>
                <w:sz w:val="24"/>
              </w:rPr>
              <w:t>Νομικά κείμενα αναφοράς και οδηγίες</w:t>
            </w:r>
          </w:p>
        </w:tc>
      </w:tr>
      <w:tr w:rsidR="007E1815" w:rsidRPr="007F4CC8" w14:paraId="2E1622B5" w14:textId="77777777" w:rsidTr="00D819DE">
        <w:trPr>
          <w:trHeight w:val="238"/>
        </w:trPr>
        <w:tc>
          <w:tcPr>
            <w:tcW w:w="1384" w:type="dxa"/>
            <w:shd w:val="clear" w:color="auto" w:fill="D9D9D9" w:themeFill="background1" w:themeFillShade="D9"/>
          </w:tcPr>
          <w:p w14:paraId="6B272483" w14:textId="77777777" w:rsidR="007E1815" w:rsidRPr="007F4CC8" w:rsidRDefault="007E1815" w:rsidP="00D819DE">
            <w:pPr>
              <w:autoSpaceDE w:val="0"/>
              <w:autoSpaceDN w:val="0"/>
              <w:adjustRightInd w:val="0"/>
              <w:spacing w:after="120"/>
              <w:rPr>
                <w:rFonts w:ascii="Times New Roman" w:hAnsi="Times New Roman" w:cs="Times New Roman"/>
                <w:b/>
                <w:sz w:val="24"/>
              </w:rPr>
            </w:pPr>
            <w:r>
              <w:rPr>
                <w:rFonts w:ascii="Times New Roman" w:hAnsi="Times New Roman"/>
                <w:b/>
                <w:sz w:val="24"/>
              </w:rPr>
              <w:t>Αριθμός γραμμής</w:t>
            </w:r>
          </w:p>
        </w:tc>
        <w:tc>
          <w:tcPr>
            <w:tcW w:w="7655" w:type="dxa"/>
            <w:shd w:val="clear" w:color="auto" w:fill="D9D9D9" w:themeFill="background1" w:themeFillShade="D9"/>
          </w:tcPr>
          <w:p w14:paraId="57B0A0D0" w14:textId="77777777" w:rsidR="007E1815" w:rsidRPr="007F4CC8" w:rsidRDefault="007E1815" w:rsidP="00D819DE">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Επεξήγηση</w:t>
            </w:r>
          </w:p>
        </w:tc>
      </w:tr>
      <w:tr w:rsidR="007E1815" w:rsidRPr="007F4CC8" w14:paraId="4336FF81" w14:textId="77777777" w:rsidTr="00D819DE">
        <w:trPr>
          <w:trHeight w:val="1858"/>
        </w:trPr>
        <w:tc>
          <w:tcPr>
            <w:tcW w:w="1384" w:type="dxa"/>
          </w:tcPr>
          <w:p w14:paraId="223E36BF" w14:textId="77777777" w:rsidR="007E1815" w:rsidRPr="007F4CC8" w:rsidRDefault="007E1815" w:rsidP="00D819DE">
            <w:pPr>
              <w:pStyle w:val="Applicationdirecte"/>
              <w:spacing w:before="120"/>
              <w:jc w:val="center"/>
            </w:pPr>
            <w:r>
              <w:t>1</w:t>
            </w:r>
          </w:p>
        </w:tc>
        <w:tc>
          <w:tcPr>
            <w:tcW w:w="7655" w:type="dxa"/>
          </w:tcPr>
          <w:p w14:paraId="47C711AE" w14:textId="77777777" w:rsidR="007E1815" w:rsidRPr="007F4CC8" w:rsidRDefault="007E1815" w:rsidP="00D819DE">
            <w:pPr>
              <w:pStyle w:val="Applicationdirecte"/>
              <w:spacing w:before="120"/>
              <w:rPr>
                <w:b/>
              </w:rPr>
            </w:pPr>
            <w:r>
              <w:rPr>
                <w:b/>
              </w:rPr>
              <w:t>Συνολικά υψηλής ποιότητας ρευστά στοιχεία ενεργητικού (HQLA)</w:t>
            </w:r>
          </w:p>
          <w:p w14:paraId="3AFE2750" w14:textId="77777777" w:rsidR="007E1815" w:rsidRPr="007F4CC8" w:rsidRDefault="007E1815" w:rsidP="00D819DE">
            <w:pPr>
              <w:pStyle w:val="InstructionsText"/>
              <w:rPr>
                <w:rFonts w:eastAsiaTheme="minorEastAsia"/>
              </w:rPr>
            </w:pPr>
            <w:r>
              <w:t xml:space="preserve">Τα ιδρύματα δημοσιοποιούν ως τη σταθμισμένη αξία το ποσό των ρευστών στοιχείων ενεργητικού σύμφωνα με το άρθρο 9 του κατ’ εξουσιοδότηση κανονισμού (ΕΕ) 2015/61 της Επιτροπής πριν από την εφαρμογή του μηχανισμού προσαρμογής που αναφέρεται στο άρθρο 17 παράγραφος 2 του κατ’ εξουσιοδότηση κανονισμού (ΕΕ) 2015/61 της Επιτροπής. </w:t>
            </w:r>
          </w:p>
        </w:tc>
      </w:tr>
      <w:tr w:rsidR="007E1815" w:rsidRPr="007F4CC8" w14:paraId="679400D0" w14:textId="77777777" w:rsidTr="00D819DE">
        <w:trPr>
          <w:trHeight w:val="316"/>
        </w:trPr>
        <w:tc>
          <w:tcPr>
            <w:tcW w:w="1384" w:type="dxa"/>
          </w:tcPr>
          <w:p w14:paraId="2FF4D0BB" w14:textId="77777777" w:rsidR="007E1815" w:rsidRPr="007F4CC8" w:rsidRDefault="007E1815" w:rsidP="00D819DE">
            <w:pPr>
              <w:autoSpaceDE w:val="0"/>
              <w:autoSpaceDN w:val="0"/>
              <w:adjustRightInd w:val="0"/>
              <w:spacing w:after="120"/>
              <w:jc w:val="center"/>
              <w:rPr>
                <w:rFonts w:ascii="Times New Roman" w:hAnsi="Times New Roman" w:cs="Times New Roman"/>
                <w:color w:val="000000"/>
                <w:sz w:val="24"/>
              </w:rPr>
            </w:pPr>
            <w:r>
              <w:rPr>
                <w:rFonts w:ascii="Times New Roman" w:hAnsi="Times New Roman"/>
                <w:sz w:val="24"/>
              </w:rPr>
              <w:t>2</w:t>
            </w:r>
          </w:p>
        </w:tc>
        <w:tc>
          <w:tcPr>
            <w:tcW w:w="7655" w:type="dxa"/>
          </w:tcPr>
          <w:p w14:paraId="5DF859BE" w14:textId="77777777" w:rsidR="007E1815" w:rsidRPr="007F4CC8" w:rsidRDefault="007E1815" w:rsidP="00D819DE">
            <w:pPr>
              <w:autoSpaceDE w:val="0"/>
              <w:autoSpaceDN w:val="0"/>
              <w:adjustRightInd w:val="0"/>
              <w:spacing w:before="120" w:after="120"/>
              <w:rPr>
                <w:rFonts w:ascii="Times New Roman" w:hAnsi="Times New Roman" w:cs="Times New Roman"/>
                <w:b/>
                <w:sz w:val="24"/>
              </w:rPr>
            </w:pPr>
            <w:r>
              <w:rPr>
                <w:rFonts w:ascii="Times New Roman" w:hAnsi="Times New Roman"/>
                <w:b/>
                <w:sz w:val="24"/>
              </w:rPr>
              <w:t>Καταθέσεις λιανικής και καταθέσεις από πελάτες μικρές επιχειρήσεις, εκ των οποίων:</w:t>
            </w:r>
          </w:p>
          <w:p w14:paraId="1B97B6A0"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 xml:space="preserve">Τα ιδρύματα δημοσιοποιούν ως τη μη σταθμισμένη αξία το ποσό των καταθέσεων λιανικής σύμφωνα με τα άρθρα 24 και 25 του κατ’ εξουσιοδότηση κανονισμού (ΕΕ) 2015/61 της Επιτροπής. </w:t>
            </w:r>
          </w:p>
          <w:p w14:paraId="2645E17B"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Τα ιδρύματα δημοσιοποιούν ως τη σταθμισμένη αξία την εκροή των καταθέσεων λιανικής σύμφωνα με τα άρθρα 24 και 25 του κατ’ εξουσιοδότηση κανονισμού (ΕΕ) 2015/61 της Επιτροπής.</w:t>
            </w:r>
          </w:p>
          <w:p w14:paraId="61E7FEDA" w14:textId="77777777" w:rsidR="007E1815" w:rsidRPr="007F4CC8" w:rsidRDefault="007E1815" w:rsidP="00D819DE">
            <w:pPr>
              <w:spacing w:after="120" w:line="278" w:lineRule="exact"/>
              <w:jc w:val="both"/>
              <w:rPr>
                <w:rFonts w:ascii="Times New Roman" w:hAnsi="Times New Roman" w:cs="Times New Roman"/>
                <w:bCs/>
                <w:sz w:val="24"/>
              </w:rPr>
            </w:pPr>
            <w:r>
              <w:rPr>
                <w:rFonts w:ascii="Times New Roman" w:hAnsi="Times New Roman"/>
                <w:sz w:val="24"/>
              </w:rPr>
              <w:t>Τα ιδρύματα δημοσιοποιούν εδώ τις καταθέσεις λιανικής σύμφωνα με το άρθρο 411 παράγραφος 2 του ΚΚΑ.</w:t>
            </w:r>
          </w:p>
          <w:p w14:paraId="1C28E2DD" w14:textId="77777777" w:rsidR="007E1815" w:rsidRPr="007F4CC8" w:rsidRDefault="007E1815" w:rsidP="00D819DE">
            <w:pPr>
              <w:tabs>
                <w:tab w:val="left" w:pos="3317"/>
              </w:tabs>
              <w:spacing w:after="120" w:line="278" w:lineRule="exact"/>
              <w:jc w:val="both"/>
              <w:rPr>
                <w:rFonts w:ascii="Times New Roman" w:hAnsi="Times New Roman" w:cs="Times New Roman"/>
                <w:sz w:val="24"/>
              </w:rPr>
            </w:pPr>
            <w:r>
              <w:rPr>
                <w:rFonts w:ascii="Times New Roman" w:hAnsi="Times New Roman"/>
                <w:sz w:val="24"/>
              </w:rPr>
              <w:t xml:space="preserve">Σύμφωνα με το άρθρο 28 παράγραφος 6 του κατ’ εξουσιοδότηση κανονισμού (ΕΕ) 2015/61 της Επιτροπής, τα ιδρύματα δημοσιοποιούν επίσης στην αντίστοιχη κατηγορία καταθέσεων λιανικής το ποσό των τραπεζογραμματίων, </w:t>
            </w:r>
            <w:r>
              <w:rPr>
                <w:rFonts w:ascii="Times New Roman" w:hAnsi="Times New Roman"/>
                <w:sz w:val="24"/>
              </w:rPr>
              <w:lastRenderedPageBreak/>
              <w:t xml:space="preserve">ομολογιών και λοιπών τίτλων που πωλούνται αποκλειστικά στη λιανική αγορά, που τηρείται σε λογαριασμό λιανικής. Τα ιδρύματα λαμβάνουν υπόψη για την εν λόγω κατηγορία υποχρεώσεων τα εφαρμοστέα ποσοστά εκροών που προβλέπονται από τον κατ’ εξουσιοδότηση κανονισμό (ΕΕ) 2015/61 της Επιτροπής για τις διάφορες κατηγορίες καταθέσεων λιανικής. </w:t>
            </w:r>
          </w:p>
        </w:tc>
      </w:tr>
      <w:tr w:rsidR="007E1815" w:rsidRPr="007F4CC8" w14:paraId="51FA4D94" w14:textId="77777777" w:rsidTr="00D819DE">
        <w:trPr>
          <w:trHeight w:val="316"/>
        </w:trPr>
        <w:tc>
          <w:tcPr>
            <w:tcW w:w="1384" w:type="dxa"/>
          </w:tcPr>
          <w:p w14:paraId="33F0252C"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3</w:t>
            </w:r>
          </w:p>
        </w:tc>
        <w:tc>
          <w:tcPr>
            <w:tcW w:w="7655" w:type="dxa"/>
          </w:tcPr>
          <w:p w14:paraId="1ECEDB42" w14:textId="77777777" w:rsidR="007E1815" w:rsidRPr="007F4CC8" w:rsidRDefault="007E1815" w:rsidP="00D819DE">
            <w:pPr>
              <w:autoSpaceDE w:val="0"/>
              <w:autoSpaceDN w:val="0"/>
              <w:adjustRightInd w:val="0"/>
              <w:spacing w:before="120" w:after="120"/>
              <w:rPr>
                <w:rFonts w:ascii="Times New Roman" w:hAnsi="Times New Roman"/>
                <w:b/>
                <w:sz w:val="24"/>
              </w:rPr>
            </w:pPr>
            <w:r>
              <w:rPr>
                <w:rFonts w:ascii="Times New Roman" w:hAnsi="Times New Roman"/>
                <w:b/>
                <w:sz w:val="24"/>
              </w:rPr>
              <w:t>Σταθερές καταθέσεις</w:t>
            </w:r>
          </w:p>
          <w:p w14:paraId="00BE376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το άθροισμα του ποσού των σταθερών καταθέσεων σύμφωνα με τα άρθρο 24 του κατ’ εξουσιοδότηση κανονισμού (ΕΕ) 2015/61 της Επιτροπής.</w:t>
            </w:r>
          </w:p>
          <w:p w14:paraId="1C5FA496"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σταθμισμένη αξία το άθροισμα της εκροής των σταθερών καταθέσεων σύμφωνα με τα άρθρο 24 του κατ’ εξουσιοδότηση κανονισμού (ΕΕ) 2015/61 της Επιτροπής.</w:t>
            </w:r>
          </w:p>
          <w:p w14:paraId="1C39DD3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εδώ το μέρος των ποσών των καταθέσεων λιανικής που καλύπτονται από σύστημα εγγύησης των καταθέσεων σύμφωνα με την οδηγία 94/19/ΕΚ</w:t>
            </w:r>
            <w:r w:rsidRPr="007F4CC8">
              <w:rPr>
                <w:rStyle w:val="FootnoteReference"/>
                <w:rFonts w:ascii="Times New Roman" w:hAnsi="Times New Roman" w:cs="Times New Roman"/>
                <w:sz w:val="24"/>
              </w:rPr>
              <w:footnoteReference w:id="3"/>
            </w:r>
            <w:r>
              <w:rPr>
                <w:rFonts w:ascii="Times New Roman" w:hAnsi="Times New Roman"/>
                <w:sz w:val="24"/>
              </w:rPr>
              <w:t xml:space="preserve"> ή την οδηγία 2014/49/ΕΕ</w:t>
            </w:r>
            <w:r w:rsidRPr="007F4CC8">
              <w:rPr>
                <w:rStyle w:val="FootnoteReference"/>
                <w:rFonts w:ascii="Times New Roman" w:hAnsi="Times New Roman" w:cs="Times New Roman"/>
                <w:sz w:val="24"/>
              </w:rPr>
              <w:footnoteReference w:id="4"/>
            </w:r>
            <w:r>
              <w:rPr>
                <w:rFonts w:ascii="Times New Roman" w:hAnsi="Times New Roman"/>
                <w:sz w:val="24"/>
              </w:rPr>
              <w:t xml:space="preserve"> ή από ισοδύναμο σύστημα εγγύησης των καταθέσεων σε τρίτη χώρα και είτε αποτελεί τμήμα μιας καθιερωμένης σχέσης που καθιστά πολύ απίθανη την ενδεχόμενη ανάληψη ή τηρείται σε συναλλακτικό λογαριασμό σύμφωνα με το άρθρο 24 παράγραφοι 2 και 3 του κατ’ εξουσιοδότηση κανονισμού (ΕΕ) 2015/61 της Επιτροπής αντιστοίχως και εφόσον:</w:t>
            </w:r>
          </w:p>
          <w:p w14:paraId="72E975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οι καταθέσεις αυτές δεν πληρούν τα κριτήρια για υψηλότερο ποσοστό εκροής σύμφωνα με το άρθρο 25 παράγραφοι 2, 3 ή 5 του κατ’ εξουσιοδότηση κανονισμού (ΕΕ) 2015/61 της Επιτροπής και</w:t>
            </w:r>
          </w:p>
          <w:p w14:paraId="0141BCF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οι καταθέσεις αυτές δεν έχουν ληφθεί σε τρίτες χώρες όπου εφαρμόζεται υψηλότερο ποσοστό εκροής σύμφωνα με το άρθρο 25 παράγραφος 5 του κατ’ εξουσιοδότηση κανονισμού (ΕΕ) 2015/61 της Επιτροπής. </w:t>
            </w:r>
          </w:p>
        </w:tc>
      </w:tr>
      <w:tr w:rsidR="007E1815" w:rsidRPr="007F4CC8" w14:paraId="2C7142E2" w14:textId="77777777" w:rsidTr="00D819DE">
        <w:trPr>
          <w:trHeight w:val="316"/>
        </w:trPr>
        <w:tc>
          <w:tcPr>
            <w:tcW w:w="1384" w:type="dxa"/>
          </w:tcPr>
          <w:p w14:paraId="0A7F136B" w14:textId="77777777" w:rsidR="007E1815" w:rsidRPr="007F4CC8" w:rsidRDefault="007E1815" w:rsidP="00D819DE">
            <w:pPr>
              <w:autoSpaceDE w:val="0"/>
              <w:autoSpaceDN w:val="0"/>
              <w:adjustRightInd w:val="0"/>
              <w:spacing w:after="120"/>
              <w:jc w:val="center"/>
              <w:rPr>
                <w:rFonts w:ascii="Times New Roman" w:hAnsi="Times New Roman" w:cs="Times New Roman"/>
                <w:sz w:val="24"/>
              </w:rPr>
            </w:pPr>
            <w:r>
              <w:rPr>
                <w:rFonts w:ascii="Times New Roman" w:hAnsi="Times New Roman"/>
                <w:sz w:val="24"/>
              </w:rPr>
              <w:t>4</w:t>
            </w:r>
          </w:p>
        </w:tc>
        <w:tc>
          <w:tcPr>
            <w:tcW w:w="7655" w:type="dxa"/>
          </w:tcPr>
          <w:p w14:paraId="481896F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Λιγότερο σταθερές καταθέσεις</w:t>
            </w:r>
          </w:p>
          <w:p w14:paraId="72651457"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το άθροισμα του ποσού των καταθέσεων λιανικής σύμφωνα με το άρθρο 25 παράγραφοι 1, 2 και 3 του κατ’ εξουσιοδότηση κανονισμού (ΕΕ) 2015/61 της Επιτροπής.</w:t>
            </w:r>
          </w:p>
          <w:p w14:paraId="2ACA42C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ως τη μη σταθμισμένη αξία το άθροισμα της εκροής των καταθέσεων λιανικής σύμφωνα με το άρθρο 25 παράγραφοι 1, 2 και 3 του κατ’ εξουσιοδότηση κανονισμού (ΕΕ) 2015/61 της Επιτροπής.</w:t>
            </w:r>
          </w:p>
        </w:tc>
      </w:tr>
      <w:tr w:rsidR="007E1815" w:rsidRPr="007F4CC8" w14:paraId="6AC39664" w14:textId="77777777" w:rsidTr="00D819DE">
        <w:trPr>
          <w:trHeight w:val="316"/>
        </w:trPr>
        <w:tc>
          <w:tcPr>
            <w:tcW w:w="1384" w:type="dxa"/>
          </w:tcPr>
          <w:p w14:paraId="101FA97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5</w:t>
            </w:r>
          </w:p>
        </w:tc>
        <w:tc>
          <w:tcPr>
            <w:tcW w:w="7655" w:type="dxa"/>
          </w:tcPr>
          <w:p w14:paraId="29B56A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Μη εξασφαλισμένη χρηματοδότηση χονδρικής</w:t>
            </w:r>
          </w:p>
          <w:p w14:paraId="2FD07274"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Τα ιδρύματα δημοσιοποιούν τα αθροίσματα των μη σταθμισμένων και των σταθμισμένων ποσών που πρέπει να δημοσιοποιούνται στη γραμμή 6 «Λειτουργικές καταθέσεις (όλοι οι αντισυμβαλλόμενοι) και καταθέσεις σε δίκτυα συνεταιριστικών τραπεζών», στη γραμμή 7 «Μη λειτουργικές </w:t>
            </w:r>
            <w:r>
              <w:rPr>
                <w:rFonts w:ascii="Times New Roman" w:hAnsi="Times New Roman"/>
                <w:sz w:val="24"/>
              </w:rPr>
              <w:lastRenderedPageBreak/>
              <w:t>καταθέσεις (όλοι οι αντισυμβαλλόμενοι)» και στη γραμμή 8 «Ανασφάλιστα χρέη» του παρόντος υποδείγματος.</w:t>
            </w:r>
          </w:p>
        </w:tc>
      </w:tr>
      <w:tr w:rsidR="007E1815" w:rsidRPr="007F4CC8" w14:paraId="3699975C" w14:textId="77777777" w:rsidTr="00D819DE">
        <w:trPr>
          <w:trHeight w:val="316"/>
        </w:trPr>
        <w:tc>
          <w:tcPr>
            <w:tcW w:w="1384" w:type="dxa"/>
          </w:tcPr>
          <w:p w14:paraId="6C6D7AC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6</w:t>
            </w:r>
          </w:p>
        </w:tc>
        <w:tc>
          <w:tcPr>
            <w:tcW w:w="7655" w:type="dxa"/>
          </w:tcPr>
          <w:p w14:paraId="3F0B24B1"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Λειτουργικές καταθέσεις (όλοι οι αντισυμβαλλόμενοι) και καταθέσεις σε δίκτυα συνεταιριστικών τραπεζών</w:t>
            </w:r>
          </w:p>
          <w:p w14:paraId="298B676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Τα ιδρύματα δημοσιοποιούν ως τη μη σταθμισμένη αξία το ποσό των λειτουργικών καταθέσεων σύμφωνα με το άρθρο 27 του κατ’ εξουσιοδότηση κανονισμού (ΕΕ) 2015/61 της Επιτροπής.</w:t>
            </w:r>
          </w:p>
          <w:p w14:paraId="640AB0BC"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Τα ιδρύματα δημοσιοποιούν ως τη σταθμισμένη αξία τις εκροές των λειτουργικών καταθέσεων σύμφωνα με το άρθρο 27 του κατ’ εξουσιοδότηση κανονισμού (ΕΕ) 2015/61 της Επιτροπής.</w:t>
            </w:r>
          </w:p>
          <w:p w14:paraId="092AFFBB"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εδώ το μέρος των λειτουργικών καταθέσεων σύμφωνα με το άρθρο 27 του κατ’ εξουσιοδότηση κανονισμού (ΕΕ) 2015/61 της Επιτροπής, οι οποίες είναι απαραίτητες για την παροχή λειτουργικών υπηρεσιών. Καταθέσεις που πραγματοποιούνται στο πλαίσιο σχέσης τραπεζικής ανταπόκρισης ή της παροχής υπηρεσιών βασικής μεσολάβησης θεωρούνται μη λειτουργικές καταθέσεις, σύμφωνα με το άρθρο 27 παράγραφος 5 του κατ’ εξουσιοδότηση κανονισμού (ΕΕ) 2015/61 της Επιτροπής.</w:t>
            </w:r>
          </w:p>
          <w:p w14:paraId="51A15DD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Το μέρος των λειτουργικών καταθέσεων που υπερβαίνει το αναγκαίο ποσό για την παροχή λειτουργικών υπηρεσιών δεν δημοσιοποιείται εδώ.</w:t>
            </w:r>
          </w:p>
        </w:tc>
      </w:tr>
      <w:tr w:rsidR="007E1815" w:rsidRPr="007F4CC8" w14:paraId="10E4889F" w14:textId="77777777" w:rsidTr="00D819DE">
        <w:trPr>
          <w:trHeight w:val="316"/>
        </w:trPr>
        <w:tc>
          <w:tcPr>
            <w:tcW w:w="1384" w:type="dxa"/>
          </w:tcPr>
          <w:p w14:paraId="3D507C3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7</w:t>
            </w:r>
          </w:p>
        </w:tc>
        <w:tc>
          <w:tcPr>
            <w:tcW w:w="7655" w:type="dxa"/>
          </w:tcPr>
          <w:p w14:paraId="53BB0581"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Μη λειτουργικές καταθέσεις (όλοι οι αντισυμβαλλόμενοι)</w:t>
            </w:r>
          </w:p>
          <w:p w14:paraId="48CEFB6E"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Τα ιδρύματα δημοσιοποιούν ως τη μη σταθμισμένη αξία το ποσό των μη λειτουργικών καταθέσεων σύμφωνα με το άρθρο 27 παράγραφος 5, το άρθρο 28 παράγραφος 1 και το άρθρο 31Α παράγραφος 1 του κατ’ εξουσιοδότηση κανονισμού (ΕΕ) 2015/61 της Επιτροπής.</w:t>
            </w:r>
          </w:p>
          <w:p w14:paraId="4790956F"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σταθμισμένη αξία την εκροή των μη λειτουργικών καταθέσεων σύμφωνα με το άρθρο 27 παράγραφος 5, το άρθρο 28 παράγραφος 1 και το άρθρο 31Α παράγραφος 1 του κατ’ εξουσιοδότηση κανονισμού (ΕΕ) 2015/61 της Επιτροπής.</w:t>
            </w:r>
          </w:p>
          <w:p w14:paraId="10C1A1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εδώ τις καταθέσεις που προκύπτουν από την τραπεζική μέσω ανταποκριτών ή από υπηρεσίες βασικής μεσολάβησης σύμφωνα με το άρθρο 27 παράγραφος 5 του κατ’ εξουσιοδότηση κανονισμού (ΕΕ) 2015/61 της Επιτροπής.</w:t>
            </w:r>
          </w:p>
          <w:p w14:paraId="6F5AFE8E"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Δημοσιοποιείται εδώ το μέρος των λειτουργικών καταθέσεων σύμφωνα με το άρθρο 27 παράγραφος 5 του κατ’ εξουσιοδότηση κανονισμού (ΕΕ) 2015/61 της Επιτροπής που υπερβαίνουν τις απαιτούμενες για την παροχή λειτουργικών υπηρεσιών.</w:t>
            </w:r>
          </w:p>
        </w:tc>
      </w:tr>
      <w:tr w:rsidR="007E1815" w:rsidRPr="007F4CC8" w14:paraId="0C113736" w14:textId="77777777" w:rsidTr="00D819DE">
        <w:trPr>
          <w:trHeight w:val="316"/>
        </w:trPr>
        <w:tc>
          <w:tcPr>
            <w:tcW w:w="1384" w:type="dxa"/>
          </w:tcPr>
          <w:p w14:paraId="2A59F92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8</w:t>
            </w:r>
          </w:p>
        </w:tc>
        <w:tc>
          <w:tcPr>
            <w:tcW w:w="7655" w:type="dxa"/>
          </w:tcPr>
          <w:p w14:paraId="58B737C3"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Μη εξασφαλισμένο χρέος</w:t>
            </w:r>
          </w:p>
          <w:p w14:paraId="07E30657" w14:textId="77777777" w:rsidR="007E1815" w:rsidRPr="007F4CC8" w:rsidRDefault="007E1815" w:rsidP="00D819DE">
            <w:pPr>
              <w:autoSpaceDE w:val="0"/>
              <w:autoSpaceDN w:val="0"/>
              <w:adjustRightInd w:val="0"/>
              <w:spacing w:after="120"/>
              <w:jc w:val="both"/>
              <w:rPr>
                <w:rFonts w:ascii="Times New Roman" w:hAnsi="Times New Roman"/>
                <w:sz w:val="24"/>
              </w:rPr>
            </w:pPr>
            <w:r>
              <w:rPr>
                <w:rFonts w:ascii="Times New Roman" w:hAnsi="Times New Roman"/>
                <w:sz w:val="24"/>
              </w:rPr>
              <w:t xml:space="preserve">Τα ιδρύματα δημοσιοποιούν ως τη μη σταθμισμένη αξία το εκκρεμές υπόλοιπο ομολόγων και άλλων χρεωστικών τίτλων που εκδίδονται από το ίδρυμα, εκτός από αυτό που δημοσιοποιείται ως καταθέσεις λιανικής όπως αναφέρεται στο άρθρο 28 παράγραφος 6 του κατ’ εξουσιοδότηση κανονισμού (ΕΕ) 2015/61 της Επιτροπής. Το ποσό αυτό περιλαμβάνει επίσης τα </w:t>
            </w:r>
            <w:r>
              <w:rPr>
                <w:rFonts w:ascii="Times New Roman" w:hAnsi="Times New Roman"/>
                <w:sz w:val="24"/>
              </w:rPr>
              <w:lastRenderedPageBreak/>
              <w:t>τοκομερίδια που καθίστανται ληξιπρόθεσμα εντός των επόμενων 30 ημερολογιακών ημερών που αναφέρονται σε όλες αυτές τις κινητές αξίες.</w:t>
            </w:r>
          </w:p>
          <w:p w14:paraId="2B76EA8F"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ως τη σταθμισμένη αξία την εκροή των εν λόγω ομολόγων και άλλων χρεωστικών τίτλων που αναφέρονται στην προηγούμενη παράγραφο.</w:t>
            </w:r>
          </w:p>
        </w:tc>
      </w:tr>
      <w:tr w:rsidR="007E1815" w:rsidRPr="007F4CC8" w14:paraId="11912F1B" w14:textId="77777777" w:rsidTr="00D819DE">
        <w:trPr>
          <w:trHeight w:val="316"/>
        </w:trPr>
        <w:tc>
          <w:tcPr>
            <w:tcW w:w="1384" w:type="dxa"/>
          </w:tcPr>
          <w:p w14:paraId="0B7FBC22"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9</w:t>
            </w:r>
          </w:p>
        </w:tc>
        <w:tc>
          <w:tcPr>
            <w:tcW w:w="7655" w:type="dxa"/>
          </w:tcPr>
          <w:p w14:paraId="3E610997"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Εξασφαλισμένη χρηματοδότηση χονδρικής</w:t>
            </w:r>
          </w:p>
          <w:p w14:paraId="2BB9CA43"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ως τη σταθμισμένη αξία το άθροισμα της εκροής που προκύπτει από πιστοδοτήσεις με εξασφάλιση ή από συναλλαγές με όρους κεφαλαιαγοράς, όπως αναφέρεται στο άρθρο 28 παράγραφος 3 του κατ’ εξουσιοδότηση κανονισμού (ΕΕ) 2015/61 της Επιτροπής, καθώς και από ανταλλαγές εξασφαλίσεων και άλλες συναλλαγές παρόμοιας μορφής σύμφωνα με το άρθρο 28 παράγραφος 4 του κατ’ εξουσιοδότηση κανονισμού (ΕΕ) 2015/61 της Επιτροπής.</w:t>
            </w:r>
          </w:p>
        </w:tc>
      </w:tr>
      <w:tr w:rsidR="007E1815" w:rsidRPr="007F4CC8" w14:paraId="1E67FE9B" w14:textId="77777777" w:rsidTr="00D819DE">
        <w:trPr>
          <w:trHeight w:val="316"/>
        </w:trPr>
        <w:tc>
          <w:tcPr>
            <w:tcW w:w="1384" w:type="dxa"/>
          </w:tcPr>
          <w:p w14:paraId="09C8CC38"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10</w:t>
            </w:r>
          </w:p>
        </w:tc>
        <w:tc>
          <w:tcPr>
            <w:tcW w:w="7655" w:type="dxa"/>
          </w:tcPr>
          <w:p w14:paraId="774F36AA" w14:textId="77777777" w:rsidR="007E1815" w:rsidRPr="007F4CC8" w:rsidRDefault="007E1815" w:rsidP="00D819DE">
            <w:pPr>
              <w:autoSpaceDE w:val="0"/>
              <w:autoSpaceDN w:val="0"/>
              <w:adjustRightInd w:val="0"/>
              <w:spacing w:before="120" w:after="120"/>
              <w:jc w:val="both"/>
              <w:rPr>
                <w:rFonts w:ascii="Times New Roman" w:hAnsi="Times New Roman"/>
                <w:b/>
                <w:sz w:val="24"/>
              </w:rPr>
            </w:pPr>
            <w:r>
              <w:rPr>
                <w:rFonts w:ascii="Times New Roman" w:hAnsi="Times New Roman"/>
                <w:b/>
                <w:sz w:val="24"/>
              </w:rPr>
              <w:t>Πρόσθετες απαιτήσεις</w:t>
            </w:r>
          </w:p>
          <w:p w14:paraId="34F10C0C"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τα αθροίσματα των μη σταθμισμένων και σταθμισμένων ποσών που πρέπει να δημοσιοποιηθούν στη γραμμή 11 «Εκροές που σχετίζονται με ανοίγματα παραγώγων και άλλες απαιτήσεις εξασφάλισης», στη γραμμή 12 «Εκροές που σχετίζονται με απώλεια χρηματοδότησης σε χρεωστικά προϊόντα» και στη γραμμή 13 «Πιστωτικές και ταμειακές διευκολύνσεις» του παρόντος υποδείγματος.</w:t>
            </w:r>
          </w:p>
        </w:tc>
      </w:tr>
      <w:tr w:rsidR="007E1815" w:rsidRPr="007F4CC8" w14:paraId="6C258881" w14:textId="77777777" w:rsidTr="00D819DE">
        <w:trPr>
          <w:trHeight w:val="316"/>
        </w:trPr>
        <w:tc>
          <w:tcPr>
            <w:tcW w:w="1384" w:type="dxa"/>
          </w:tcPr>
          <w:p w14:paraId="169F3669"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11</w:t>
            </w:r>
          </w:p>
        </w:tc>
        <w:tc>
          <w:tcPr>
            <w:tcW w:w="7655" w:type="dxa"/>
          </w:tcPr>
          <w:p w14:paraId="74F71329"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Εκροές που σχετίζονται με ανοίγματα παραγώγων και άλλες απαιτήσεις εξασφάλισης</w:t>
            </w:r>
          </w:p>
          <w:p w14:paraId="45A714DD"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άθροισμα των ακόλουθων ποσών και εκροών αντίστοιχα:</w:t>
            </w:r>
          </w:p>
          <w:p w14:paraId="35D83DA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Την αγοραία αξία και τις σχετικές εκροές εξασφαλίσεων εκτός από την εξασφάλιση επιπέδου 1 που παρέχεται για συμβάσεις οι οποίες αναφέρονται στο παράρτημα II του ΚΚΑ και πιστωτικά παράγωγα σύμφωνα με το άρθρο 30 παράγραφος 1 του κατ’ εξουσιοδότηση κανονισμού (ΕΕ) 2015/61 της Επιτροπής.</w:t>
            </w:r>
          </w:p>
          <w:p w14:paraId="43C0E6B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Την αγοραία αξία και τις σχετικές εκροές εξασφαλίσεων περιουσιακών στοιχείων καλυμμένων ομολόγων EHQ επιπέδου 1 που παρέχονται για συμβάσεις οι οποίες αναφέρονται στο παράρτημα II του ΚΚΑ και πιστωτικά παράγωγα σύμφωνα με το άρθρο 30 παράγραφος 1 του κατ’ εξουσιοδότηση κανονισμού (ΕΕ) 2015/61 της Επιτροπής.</w:t>
            </w:r>
          </w:p>
          <w:p w14:paraId="5A5FA7D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Το συνολικό ποσό των πρόσθετων εκροών που υπολογίζονται και κοινοποιούνται στις αρμόδιες αρχές σύμφωνα με το άρθρο 30 παράγραφος 2 του κατ’ εξουσιοδότηση κανονισμού (ΕΕ) 2015/61 της Επιτροπής ως σημαντικές εκροές λόγω της επιδείνωσης της ιδίας πιστωτικής ποιότητας. </w:t>
            </w:r>
          </w:p>
          <w:p w14:paraId="22B5AC4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Το ποσό των εκροών που προκύπτει από την επίπτωση ενός δυσμενούς σεναρίου αγοράς επί των συναλλαγών παραγώγων, όπως προβλέπεται στο άρθρο 30 παράγραφος 3 του κατ’ εξουσιοδότηση κανονισμού </w:t>
            </w:r>
            <w:r>
              <w:rPr>
                <w:rFonts w:ascii="Times New Roman" w:hAnsi="Times New Roman"/>
                <w:sz w:val="24"/>
              </w:rPr>
              <w:lastRenderedPageBreak/>
              <w:t>(ΕΕ) 2015/61 της Επιτροπής και υπολογίζεται σύμφωνα με τον κατ’ εξουσιοδότηση κανονισμό (ΕΕ) 2017/208 της Επιτροπής</w:t>
            </w:r>
            <w:r w:rsidRPr="007F4CC8">
              <w:rPr>
                <w:rStyle w:val="FootnoteReference"/>
                <w:rFonts w:ascii="Times New Roman" w:hAnsi="Times New Roman"/>
                <w:sz w:val="24"/>
              </w:rPr>
              <w:footnoteReference w:id="5"/>
            </w:r>
            <w:r>
              <w:rPr>
                <w:rFonts w:ascii="Times New Roman" w:hAnsi="Times New Roman"/>
                <w:sz w:val="24"/>
              </w:rPr>
              <w:t>.</w:t>
            </w:r>
          </w:p>
          <w:p w14:paraId="2E9F183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Το ποσό των εκροών που αναμένονται σε διάστημα 30 ημερολογιακών ημερών από συμβάσεις οι οποίες αναφέρονται στο παράρτημα II του ΚΚΑ και από πιστωτικά παράγωγα, όπως προβλέπεται στο άρθρο 30 παράγραφος 4 του κατ’ εξουσιοδότηση κανονισμού (ΕΕ) 2015/61 της Επιτροπής και υπολογίζεται σύμφωνα με το άρθρο 21 του κατ’ εξουσιοδότηση κανονισμού (ΕΕ) 2015/61 της Επιτροπής. </w:t>
            </w:r>
          </w:p>
          <w:p w14:paraId="287058C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Την αγοραία αξία και τις σχετικές εκροές του επιπλέον ποσού της εξασφάλισης που κατέχει το ίδρυμα το οποίο μπορεί να καταστεί απαιτητό ανά πάσα στιγμή από τον αντισυμβαλλόμενο όπως προβλέπεται στο άρθρο 30 παράγραφος 6 στοιχείο α) του κατ’ εξουσιοδότηση κανονισμού (ΕΕ) 2015/61 της Επιτροπής. </w:t>
            </w:r>
          </w:p>
          <w:p w14:paraId="7909EA7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Την αγοραία αξία και τις σχετικές εκροές της εξασφάλισης που πρέπει να επιστραφεί σε αντισυμβαλλόμενο εντός της περιόδου των 30 ημερολογιακών ημερών όπως προβλέπεται στο άρθρο 30 παράγραφος 6 στοιχείο β) του κατ’ εξουσιοδότηση κανονισμού (ΕΕ) 2015/61 της Επιτροπής. </w:t>
            </w:r>
          </w:p>
          <w:p w14:paraId="0C747E7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Την αγοραία αξία και τις σχετικές εκροές των εξασφαλίσεων που θεωρούνται ρευστά στοιχεία του ενεργητικού για τους σκοπούς του τίτλου II του κατ’ εξουσιοδότηση κανονισμού (ΕΕ) 2015/61 της Επιτροπής τα οποία μπορούν να αντικαταστήσουν στοιχεία που αντιστοιχούν σε στοιχεία τα οποία δεν θα μπορούσαν να θεωρηθούν ρευστά στοιχεία του ενεργητικού για τους σκοπούς του τίτλου II του ίδιου κανονισμού χωρίς τη συγκατάθεση του ιδρύματος, όπως προβλέπεται στο άρθρο 30 παράγραφος 6 στοιχείο γ) του κατ’ εξουσιοδότηση κανονισμού (ΕΕ) 2015/61 της Επιτροπής.</w:t>
            </w:r>
          </w:p>
        </w:tc>
      </w:tr>
      <w:tr w:rsidR="007E1815" w:rsidRPr="007F4CC8" w14:paraId="73604DCD" w14:textId="77777777" w:rsidTr="00D819DE">
        <w:trPr>
          <w:trHeight w:val="316"/>
        </w:trPr>
        <w:tc>
          <w:tcPr>
            <w:tcW w:w="1384" w:type="dxa"/>
          </w:tcPr>
          <w:p w14:paraId="76F2A9CE"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12</w:t>
            </w:r>
          </w:p>
        </w:tc>
        <w:tc>
          <w:tcPr>
            <w:tcW w:w="7655" w:type="dxa"/>
          </w:tcPr>
          <w:p w14:paraId="5669483C"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Εκροές που σχετίζονται με απώλεια χρηματοδότησης σε χρεωστικά προϊόντα</w:t>
            </w:r>
          </w:p>
          <w:p w14:paraId="2004FE24"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ποσό και τις εκροές, αντίστοιχα, της απώλειας χρηματοδότησης για δομημένες χρηματοδοτικές δραστηριότητες, όπως προβλέπεται στο άρθρο 30 παράγραφοι 8 έως 10 του κατ’ εξουσιοδότηση κανονισμού (ΕΕ) 2015/61 της Επιτροπής.</w:t>
            </w:r>
          </w:p>
          <w:p w14:paraId="7A966478"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Τα ιδρύματα λαμβάνουν ως παραδοχή εκροή ύψους 100 % για απώλεια χρηματοδοτήσεων για τίτλους από </w:t>
            </w:r>
            <w:proofErr w:type="spellStart"/>
            <w:r>
              <w:rPr>
                <w:rFonts w:ascii="Times New Roman" w:hAnsi="Times New Roman"/>
                <w:sz w:val="24"/>
              </w:rPr>
              <w:t>τιτλοποίηση</w:t>
            </w:r>
            <w:proofErr w:type="spellEnd"/>
            <w:r>
              <w:rPr>
                <w:rFonts w:ascii="Times New Roman" w:hAnsi="Times New Roman"/>
                <w:sz w:val="24"/>
              </w:rPr>
              <w:t>, καλυμμένα ομόλογα και άλλα δομημένα μέσα χρηματοδότησης που λήγουν εντός 30 ημερολογιακών ημερών, όταν τα μέσα αυτά εκδίδονται από το ίδιο το πιστωτικό ίδρυμα ή από ενδιάμεσους φορείς ή φορείς ειδικού σκοπού που επιχορηγούνται από το πιστωτικό ίδρυμα.</w:t>
            </w:r>
          </w:p>
          <w:p w14:paraId="7699550A"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Τα ιδρύματα που είναι </w:t>
            </w:r>
            <w:proofErr w:type="spellStart"/>
            <w:r>
              <w:rPr>
                <w:rFonts w:ascii="Times New Roman" w:hAnsi="Times New Roman"/>
                <w:sz w:val="24"/>
              </w:rPr>
              <w:t>πάροχοι</w:t>
            </w:r>
            <w:proofErr w:type="spellEnd"/>
            <w:r>
              <w:rPr>
                <w:rFonts w:ascii="Times New Roman" w:hAnsi="Times New Roman"/>
                <w:sz w:val="24"/>
              </w:rPr>
              <w:t xml:space="preserve"> διευκολύνσεων ρευστότητας συναφών με προγράμματα χρηματοδότησης που δημοσιοποιούνται εδώ μπορούν να </w:t>
            </w:r>
            <w:r>
              <w:rPr>
                <w:rFonts w:ascii="Times New Roman" w:hAnsi="Times New Roman"/>
                <w:sz w:val="24"/>
              </w:rPr>
              <w:lastRenderedPageBreak/>
              <w:t>αποφύγουν τον διπλό υπολογισμό των μέσων χρηματοδότησης που λήγουν και της διευκόλυνσης ρευστότητας για ενοποιημένα προγράμματα.</w:t>
            </w:r>
          </w:p>
        </w:tc>
      </w:tr>
      <w:tr w:rsidR="007E1815" w:rsidRPr="007F4CC8" w14:paraId="509D8875" w14:textId="77777777" w:rsidTr="00D819DE">
        <w:trPr>
          <w:trHeight w:val="316"/>
        </w:trPr>
        <w:tc>
          <w:tcPr>
            <w:tcW w:w="1384" w:type="dxa"/>
          </w:tcPr>
          <w:p w14:paraId="5095A45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13</w:t>
            </w:r>
          </w:p>
        </w:tc>
        <w:tc>
          <w:tcPr>
            <w:tcW w:w="7655" w:type="dxa"/>
          </w:tcPr>
          <w:p w14:paraId="17CE629E"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Πιστωτικές και ταμειακές διευκολύνσεις</w:t>
            </w:r>
          </w:p>
          <w:p w14:paraId="63AA060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ποσό και την εκροή, αντίστοιχα, των πιστωτικών και ταμειακών διευκολύνσεων σύμφωνα με το άρθρο 31 του κατ’ εξουσιοδότηση κανονισμού (ΕΕ) 2015/61 της Επιτροπής.</w:t>
            </w:r>
          </w:p>
          <w:p w14:paraId="0CB681C8"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Τα ιδρύματα δημοσιοποιούν επίσης εδώ τις δεσμευμένες διευκολύνσεις ρευστότητας σύμφωνα με το άρθρο 29 του κατ’ εξουσιοδότηση κανονισμού (ΕΕ) 2015/61 της Επιτροπής.</w:t>
            </w:r>
          </w:p>
        </w:tc>
      </w:tr>
      <w:tr w:rsidR="007E1815" w:rsidRPr="007F4CC8" w14:paraId="714288CA" w14:textId="77777777" w:rsidTr="00D819DE">
        <w:trPr>
          <w:trHeight w:val="316"/>
        </w:trPr>
        <w:tc>
          <w:tcPr>
            <w:tcW w:w="1384" w:type="dxa"/>
          </w:tcPr>
          <w:p w14:paraId="4688D030"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14</w:t>
            </w:r>
          </w:p>
        </w:tc>
        <w:tc>
          <w:tcPr>
            <w:tcW w:w="7655" w:type="dxa"/>
          </w:tcPr>
          <w:p w14:paraId="09A7998F"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Άλλες συμβατικές χρηματοδοτικές υποχρεώσεις</w:t>
            </w:r>
          </w:p>
          <w:p w14:paraId="7DBAA770"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άθροισμα των ποσών και εκροών, αντίστοιχα, των ακόλουθων στοιχείων:</w:t>
            </w:r>
          </w:p>
          <w:p w14:paraId="7CB65F2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Στοιχεία ενεργητικού που λαμβάνονται ως δάνειο χωρίς εξασφάλιση, τα οποία λήγουν εντός της προθεσμίας των 30 ημερών, όπως προβλέπεται στο άρθρο 28 παράγραφος 7 του κατ’ εξουσιοδότηση κανονισμού (ΕΕ) 2015/61 της Επιτροπής. Τα εν λόγω στοιχεία ενεργητικού θεωρείται ότι εξαντλούνται πλήρως, οδηγώντας σε εκροή 100 %. Τα ιδρύματα δημοσιοποιούν την αγοραία αξία των στοιχείων ενεργητικού που λαμβάνονται ως δάνειο χωρίς εξασφάλιση, τα οποία λήγουν εντός της προθεσμίας των 30 ημερών, εφόσον το πιστωτικό ίδρυμα δεν κατέχει τους τίτλους και αυτοί δεν αποτελούν μέρος του αποθέματος ασφαλείας ρευστότητας των ιδρυμάτων.</w:t>
            </w:r>
          </w:p>
          <w:p w14:paraId="7B6C8778"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Αρνητικές θέσεις που καλύπτονται από </w:t>
            </w:r>
            <w:proofErr w:type="spellStart"/>
            <w:r>
              <w:rPr>
                <w:rFonts w:ascii="Times New Roman" w:hAnsi="Times New Roman"/>
                <w:sz w:val="24"/>
              </w:rPr>
              <w:t>δανειοληψία</w:t>
            </w:r>
            <w:proofErr w:type="spellEnd"/>
            <w:r>
              <w:rPr>
                <w:rFonts w:ascii="Times New Roman" w:hAnsi="Times New Roman"/>
                <w:sz w:val="24"/>
              </w:rPr>
              <w:t xml:space="preserve"> τίτλων χωρίς εξασφάλιση. Όπως ορίζεται στο άρθρο 30 παράγραφος 5 του κατ’ εξουσιοδότηση κανονισμού (ΕΕ) 2015/61 της Επιτροπής, τα ιδρύματα προσθέτουν συμπληρωματική εκροή, που αντιστοιχεί στο 100 % της αγοραίας αξίας των τίτλων ή άλλων στοιχείων ενεργητικού που πωλούνται με ανοικτή πώληση, εκτός εάν οι όροι με τους οποίους έχει δανειστεί το πιστωτικό ίδρυμα απαιτούν την επιστροφή τους μόνον έπειτα από 30 ημερολογιακές ημέρες. Εάν η αρνητική θέση καλύπτεται από εξασφαλισμένη συναλλαγή χρηματοδότησης τίτλων, το πιστωτικό ίδρυμα θεωρεί ότι η αρνητική θέση θα διατηρηθεί καθ’ όλη τη διάρκεια των 30 ημερολογιακών ημερών και θα λάβει ποσοστό εκροής ύψους 0 %. </w:t>
            </w:r>
          </w:p>
          <w:p w14:paraId="0D960AF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Υποχρεώσεις που προκύπτουν από λειτουργικές δαπάνες. Όπως ορίζεται στο άρθρο 28 παράγραφος 2 του κατ’ εξουσιοδότηση κανονισμού (ΕΕ) 2015/61 της Επιτροπής, τα ιδρύματα δημοσιοποιούν το ποσό του εκκρεμούς υπολοίπου υποχρεώσεων που προκύπτει από τα λειτουργικά έξοδα του ίδιου του πιστωτικού ιδρύματος. Οι υποχρεώσεις αυτές δεν ενεργοποιούν εκροές. </w:t>
            </w:r>
          </w:p>
          <w:p w14:paraId="50308A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Άλλες μη εξασφαλισμένες συναλλαγές που λήγουν εντός των επόμενων 30 ημερολογιακών ημερών και δεν περιλαμβάνονται στα άρθρα 24 έως 31 του κατ’ εξουσιοδότηση κανονισμού (ΕΕ) 2015/61 της Επιτροπής, οι οποίες, όπως ορίζεται στο άρθρο 31Α παράγραφος 1 </w:t>
            </w:r>
            <w:r>
              <w:rPr>
                <w:rFonts w:ascii="Times New Roman" w:hAnsi="Times New Roman"/>
                <w:sz w:val="24"/>
              </w:rPr>
              <w:lastRenderedPageBreak/>
              <w:t>του κατ’ εξουσιοδότηση κανονισμού (ΕΕ) 2015/61 της Επιτροπής, ενεργοποιούν 100 % εκροές.</w:t>
            </w:r>
          </w:p>
        </w:tc>
      </w:tr>
      <w:tr w:rsidR="007E1815" w:rsidRPr="007F4CC8" w14:paraId="6D04A99C" w14:textId="77777777" w:rsidTr="00D819DE">
        <w:trPr>
          <w:trHeight w:val="316"/>
        </w:trPr>
        <w:tc>
          <w:tcPr>
            <w:tcW w:w="1384" w:type="dxa"/>
          </w:tcPr>
          <w:p w14:paraId="2086B2D5"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15</w:t>
            </w:r>
          </w:p>
        </w:tc>
        <w:tc>
          <w:tcPr>
            <w:tcW w:w="7655" w:type="dxa"/>
          </w:tcPr>
          <w:p w14:paraId="6A875C2F"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Άλλες ενδεχόμενες χρηματοδοτικές υποχρεώσεις</w:t>
            </w:r>
          </w:p>
          <w:p w14:paraId="65E869DD"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άθροισμα των ποσών και εκροών, αντίστοιχα, των ακόλουθων στοιχείων:</w:t>
            </w:r>
          </w:p>
          <w:p w14:paraId="2032279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Άλλα προϊόντα και υπηρεσίες που αναφέρονται στο άρθρο 23 του κατ’ εξουσιοδότηση κανονισμού (ΕΕ) 2015/61 της Επιτροπής. Τα ιδρύματα δημοσιοποιούν εδώ τα προϊόντα και τις υπηρεσίες που αναφέρονται στο άρθρο 23 παράγραφος 1 του κατ’ εξουσιοδότηση κανονισμού (ΕΕ) 2015/61 της Επιτροπής. Το προς δημοσιοποίηση ποσό είναι το μέγιστο ποσό που μπορεί να αναληφθεί από τα εν λόγω προϊόντα ή υπηρεσίες που αναφέρονται στο άρθρο 23 παράγραφος 1 του κατ’ εξουσιοδότηση κανονισμού (ΕΕ) 2015/61 της Επιτροπής. </w:t>
            </w:r>
          </w:p>
          <w:p w14:paraId="3F26943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Πλεονάζον ποσό συμβατικών δεσμεύσεων για επέκταση της χρηματοδότησης σε μη χρηματοπιστωτικούς πελάτες εντός 30 ημερολογιακών ημερών, όπως προβλέπεται στο άρθρο 31Α παράγραφος 2 του κατ’ εξουσιοδότηση κανονισμού (ΕΕ) 2015/61 της Επιτροπής. </w:t>
            </w:r>
          </w:p>
          <w:p w14:paraId="460FF3B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szCs w:val="24"/>
              </w:rPr>
            </w:pPr>
            <w:r>
              <w:rPr>
                <w:rFonts w:ascii="Times New Roman" w:hAnsi="Times New Roman"/>
                <w:sz w:val="24"/>
              </w:rPr>
              <w:t>Εσωτερικό συμψηφισμό θέσεων πελατών σύμφωνα με το άρθρο 30 παράγραφος 11 του κατ’ εξουσιοδότηση κανονισμού (ΕΕ) 2015/61 της Επιτροπής. Τα ιδρύματα δημοσιοποιούν εδώ την αγοραία αξία των μη ρευστών στοιχείων ενεργητικού του πελάτη τα οποία, σε σχέση με υπηρεσίες βασικής μεσολάβησης, το πιστωτικό ίδρυμα έχει χρησιμοποιήσει για να καλύψει τις ανοικτές πωλήσεις ενός άλλου πελάτη με εσωτερική αντιστοίχισή τους.</w:t>
            </w:r>
          </w:p>
        </w:tc>
      </w:tr>
      <w:tr w:rsidR="007E1815" w:rsidRPr="007F4CC8" w14:paraId="5C1E26D1" w14:textId="77777777" w:rsidTr="00D819DE">
        <w:trPr>
          <w:trHeight w:val="316"/>
        </w:trPr>
        <w:tc>
          <w:tcPr>
            <w:tcW w:w="1384" w:type="dxa"/>
          </w:tcPr>
          <w:p w14:paraId="66EBBD7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16</w:t>
            </w:r>
          </w:p>
        </w:tc>
        <w:tc>
          <w:tcPr>
            <w:tcW w:w="7655" w:type="dxa"/>
          </w:tcPr>
          <w:p w14:paraId="7CD1029A"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ΣΥΝΟΛΟ ΤΑΜΕΙΑΚΩΝ ΕΚΡΟΩΝ</w:t>
            </w:r>
          </w:p>
          <w:p w14:paraId="795DD5DD"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Τα ιδρύματα δημοσιοποιούν το άθροισμα της σταθμισμένης αξίας των ακόλουθων στοιχείων σύμφωνα με τις παρακάτω οδηγίες:</w:t>
            </w:r>
          </w:p>
          <w:p w14:paraId="1FE26C4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2: Καταθέσεις λιανικής και καταθέσεις από πελάτες μικρών επιχειρήσεων του παρόντος υποδείγματος</w:t>
            </w:r>
          </w:p>
          <w:p w14:paraId="4C61D14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5: Μη εξασφαλισμένη χρηματοδότηση χονδρικής του παρόντος υποδείγματος</w:t>
            </w:r>
          </w:p>
          <w:p w14:paraId="5FA5EAE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9: Εξασφαλισμένη χρηματοδότηση χονδρικής του παρόντος υποδείγματος</w:t>
            </w:r>
          </w:p>
          <w:p w14:paraId="7B30970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10: Πρόσθετες απαιτήσεις του παρόντος υποδείγματος</w:t>
            </w:r>
          </w:p>
          <w:p w14:paraId="121EA07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14: Άλλες συμβατικές χρηματοδοτικές υποχρεώσεις του παρόντος υποδείγματος</w:t>
            </w:r>
          </w:p>
          <w:p w14:paraId="3BFFB70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15: Άλλες ενδεχόμενες χρηματοδοτικές υποχρεώσεις του παρόντος υποδείγματος</w:t>
            </w:r>
          </w:p>
        </w:tc>
      </w:tr>
      <w:tr w:rsidR="007E1815" w:rsidRPr="007F4CC8" w14:paraId="79A60795" w14:textId="77777777" w:rsidTr="00D819DE">
        <w:trPr>
          <w:trHeight w:val="316"/>
        </w:trPr>
        <w:tc>
          <w:tcPr>
            <w:tcW w:w="1384" w:type="dxa"/>
          </w:tcPr>
          <w:p w14:paraId="0BC40981"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17</w:t>
            </w:r>
          </w:p>
        </w:tc>
        <w:tc>
          <w:tcPr>
            <w:tcW w:w="7655" w:type="dxa"/>
          </w:tcPr>
          <w:p w14:paraId="7AAD4AB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 xml:space="preserve">Εξασφαλισμένη δανειοδότηση (π.χ. </w:t>
            </w:r>
            <w:proofErr w:type="spellStart"/>
            <w:r>
              <w:rPr>
                <w:rFonts w:ascii="Times New Roman" w:hAnsi="Times New Roman"/>
                <w:b/>
                <w:sz w:val="24"/>
              </w:rPr>
              <w:t>αντιστρεπτέα</w:t>
            </w:r>
            <w:proofErr w:type="spellEnd"/>
            <w:r>
              <w:rPr>
                <w:rFonts w:ascii="Times New Roman" w:hAnsi="Times New Roman"/>
                <w:b/>
                <w:sz w:val="24"/>
              </w:rPr>
              <w:t xml:space="preserve"> επαναγορά)</w:t>
            </w:r>
          </w:p>
          <w:p w14:paraId="651838CD"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το άθροισμα των εξής:</w:t>
            </w:r>
          </w:p>
          <w:p w14:paraId="6D48071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Ποσά από συναλλαγές εξασφαλισμένων πιστοδοτήσεων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w:t>
            </w:r>
            <w:r>
              <w:rPr>
                <w:rFonts w:ascii="Times New Roman" w:hAnsi="Times New Roman"/>
                <w:sz w:val="24"/>
              </w:rPr>
              <w:lastRenderedPageBreak/>
              <w:t xml:space="preserve">που δεν υπερβαίνει τις 30 ημέρες, όπως προβλέπεται στο άρθρο 32 παράγραφος 3 στοιχεία β), γ) και </w:t>
            </w:r>
            <w:proofErr w:type="spellStart"/>
            <w:r>
              <w:rPr>
                <w:rFonts w:ascii="Times New Roman" w:hAnsi="Times New Roman"/>
                <w:sz w:val="24"/>
              </w:rPr>
              <w:t>στ</w:t>
            </w:r>
            <w:proofErr w:type="spellEnd"/>
            <w:r>
              <w:rPr>
                <w:rFonts w:ascii="Times New Roman" w:hAnsi="Times New Roman"/>
                <w:sz w:val="24"/>
              </w:rPr>
              <w:t>) του κατ’ εξουσιοδότηση κανονισμού (ΕΕ) 2015/61 της Επιτροπής.</w:t>
            </w:r>
          </w:p>
          <w:p w14:paraId="7F449F12" w14:textId="77777777" w:rsidR="007E1815" w:rsidRPr="007F4CC8" w:rsidRDefault="007E1815" w:rsidP="007E1815">
            <w:pPr>
              <w:pStyle w:val="ListParagraph"/>
              <w:numPr>
                <w:ilvl w:val="0"/>
                <w:numId w:val="5"/>
              </w:numPr>
              <w:autoSpaceDE w:val="0"/>
              <w:autoSpaceDN w:val="0"/>
              <w:adjustRightInd w:val="0"/>
              <w:spacing w:after="120" w:line="288" w:lineRule="exact"/>
              <w:contextualSpacing/>
              <w:jc w:val="both"/>
              <w:rPr>
                <w:rFonts w:ascii="Times New Roman" w:hAnsi="Times New Roman"/>
                <w:sz w:val="24"/>
              </w:rPr>
            </w:pPr>
            <w:r>
              <w:rPr>
                <w:rFonts w:ascii="Times New Roman" w:hAnsi="Times New Roman"/>
                <w:sz w:val="24"/>
              </w:rPr>
              <w:t>Την αγοραία αξία των εξασφαλίσεων που παρέχονται σε ανταλλαγές εξασφαλίσεων όπως προβλέπεται στο άρθρο 32 παράγραφος 3 του κατ’ εξουσιοδότηση κανονισμού (ΕΕ) 2015/61 της Επιτροπής.</w:t>
            </w:r>
          </w:p>
          <w:p w14:paraId="06976BDB" w14:textId="77777777" w:rsidR="007E1815" w:rsidRPr="007F4CC8" w:rsidRDefault="007E1815" w:rsidP="00D819DE">
            <w:pPr>
              <w:spacing w:after="120" w:line="288" w:lineRule="exact"/>
              <w:jc w:val="both"/>
              <w:rPr>
                <w:rFonts w:ascii="Times New Roman" w:hAnsi="Times New Roman" w:cs="Times New Roman"/>
                <w:sz w:val="24"/>
              </w:rPr>
            </w:pPr>
            <w:r>
              <w:rPr>
                <w:rFonts w:ascii="Times New Roman" w:hAnsi="Times New Roman"/>
                <w:sz w:val="24"/>
              </w:rPr>
              <w:t>Τα ιδρύματα δημοσιοποιούν ως μη σταθμισμένη αξία το άθροισμα των εξής:</w:t>
            </w:r>
          </w:p>
          <w:p w14:paraId="7A115CD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Εισροές από συναλλαγές εξασφαλισμένων πιστοδοτήσεων και συναλλαγές με όρους κεφαλαιαγοράς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 όπως προβλέπεται στο άρθρο 32 παράγραφος 3 στοιχεία β), γ) και </w:t>
            </w:r>
            <w:proofErr w:type="spellStart"/>
            <w:r>
              <w:rPr>
                <w:rFonts w:ascii="Times New Roman" w:hAnsi="Times New Roman"/>
                <w:sz w:val="24"/>
              </w:rPr>
              <w:t>στ</w:t>
            </w:r>
            <w:proofErr w:type="spellEnd"/>
            <w:r>
              <w:rPr>
                <w:rFonts w:ascii="Times New Roman" w:hAnsi="Times New Roman"/>
                <w:sz w:val="24"/>
              </w:rPr>
              <w:t>) του κατ’ εξουσιοδότηση κανονισμού (ΕΕ) 2015/61 της Επιτροπής.</w:t>
            </w:r>
          </w:p>
          <w:p w14:paraId="07238B5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Εισροές από ανταλλαγές εξασφαλίσεων όπως προβλέπεται στο άρθρο 32 παράγραφος 3 του κατ’ εξουσιοδότηση κανονισμού (ΕΕ) 2015/61 της Επιτροπής.</w:t>
            </w:r>
          </w:p>
        </w:tc>
      </w:tr>
      <w:tr w:rsidR="007E1815" w:rsidRPr="007F4CC8" w14:paraId="001A0BC1" w14:textId="77777777" w:rsidTr="00D819DE">
        <w:trPr>
          <w:trHeight w:val="316"/>
        </w:trPr>
        <w:tc>
          <w:tcPr>
            <w:tcW w:w="1384" w:type="dxa"/>
          </w:tcPr>
          <w:p w14:paraId="717DE40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18</w:t>
            </w:r>
          </w:p>
        </w:tc>
        <w:tc>
          <w:tcPr>
            <w:tcW w:w="7655" w:type="dxa"/>
          </w:tcPr>
          <w:p w14:paraId="05A2A98F" w14:textId="77777777" w:rsidR="007E1815" w:rsidRPr="007F4CC8" w:rsidRDefault="007E1815" w:rsidP="00D819DE">
            <w:pPr>
              <w:spacing w:before="120" w:after="120" w:line="190" w:lineRule="exact"/>
              <w:rPr>
                <w:rFonts w:ascii="Times New Roman" w:hAnsi="Times New Roman"/>
                <w:b/>
                <w:sz w:val="24"/>
              </w:rPr>
            </w:pPr>
            <w:r>
              <w:rPr>
                <w:rFonts w:ascii="Times New Roman" w:hAnsi="Times New Roman"/>
                <w:b/>
                <w:sz w:val="24"/>
              </w:rPr>
              <w:t>Εισροές από πλήρως εξυπηρετούμενα ανοίγματα</w:t>
            </w:r>
          </w:p>
          <w:p w14:paraId="4C4F768A"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άθροισμα των συνολικών ποσών και εισροών, αντίστοιχα, των ακόλουθων στοιχείων:</w:t>
            </w:r>
          </w:p>
          <w:p w14:paraId="1F8370B0"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οφειλόμενα ποσά από μη χρηματοπιστωτικούς πελάτες (εκτός από τις κεντρικές τράπεζες), όπως προβλέπεται στο άρθρο 32 παράγραφος 3 στοιχείο α) του κατ’ εξουσιοδότηση κανονισμού (ΕΕ) 2015/61 της Επιτροπής. </w:t>
            </w:r>
          </w:p>
          <w:p w14:paraId="1086E0A3"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οφειλόμενα ποσά από κεντρικές τράπεζες και χρηματοπιστωτικούς πελάτες, όπως προβλέπεται στο άρθρο 32 παράγραφος 2 στοιχείο α) του κατ’ εξουσιοδότηση κανονισμού (ΕΕ) 2015/61 της Επιτροπής. </w:t>
            </w:r>
          </w:p>
          <w:p w14:paraId="216498BF"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οφειλόμενα ποσά από συναλλαγές χρηματοδότησης του εμπορίου όπως προβλέπεται στο άρθρο 32 παράγραφος 2 στοιχείο β) του κατ’ εξουσιοδότηση κανονισμού (ΕΕ) 2015/61 της Επιτροπής με 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που δεν υπερβαίνει τις 30 ημέρες.</w:t>
            </w:r>
          </w:p>
          <w:p w14:paraId="2B448E7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εισροές που αντιστοιχούν σε εκροές σύμφωνα με δεσμεύσεις χρηματοδότησης προνομιακών δανείων, όπως αναφέρονται στο άρθρο 31 παράγραφος 9 του κατ’ εξουσιοδότηση κανονισμού (ΕΕ) 2015/61 της Επιτροπής.</w:t>
            </w:r>
          </w:p>
        </w:tc>
      </w:tr>
      <w:tr w:rsidR="007E1815" w:rsidRPr="007F4CC8" w14:paraId="63C35840" w14:textId="77777777" w:rsidTr="00D819DE">
        <w:trPr>
          <w:trHeight w:val="316"/>
        </w:trPr>
        <w:tc>
          <w:tcPr>
            <w:tcW w:w="1384" w:type="dxa"/>
          </w:tcPr>
          <w:p w14:paraId="02419826"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19</w:t>
            </w:r>
          </w:p>
        </w:tc>
        <w:tc>
          <w:tcPr>
            <w:tcW w:w="7655" w:type="dxa"/>
          </w:tcPr>
          <w:p w14:paraId="2976A3A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Λοιπές ταμειακές εισροές</w:t>
            </w:r>
          </w:p>
          <w:p w14:paraId="47710836"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Τα ιδρύματα δημοσιοποιούν ως τη μη σταθμισμένη αξία και ως τη σταθμισμένη αξία το άθροισμα των συνολικών ποσών και εισροών, αντίστοιχα, των ακόλουθων στοιχείων:</w:t>
            </w:r>
          </w:p>
          <w:p w14:paraId="5654CF4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οφειλόμενα ποσά από τίτλους που λήγουν εντός 30 ημερών, όπως προβλέπεται στο άρθρο 32 παράγραφος 2 στοιχείο γ) του κατ’ εξουσιοδότηση κανονισμού (ΕΕ) 2015/61 της Επιτροπής. </w:t>
            </w:r>
          </w:p>
          <w:p w14:paraId="0EA1B0AA"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δάνεια με μη προσδιορισμένη συμβατική ημερομηνία λήξης, όπως προβλέπεται στο άρθρο 32 παράγραφος 3 στοιχείο θ) του κατ’ εξουσιοδότηση κανονισμού (ΕΕ) 2015/61 της Επιτροπής.</w:t>
            </w:r>
          </w:p>
          <w:p w14:paraId="6C032E9D"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lastRenderedPageBreak/>
              <w:t>οφειλόμενα ποσά από θέσεις σε κύριους δείκτες μετοχικών τίτλων υπό τον όρο ότι δεν γίνεται διπλός υπολογισμός με τα ρευστά στοιχεία του ενεργητικού, όπως προβλέπεται στο άρθρο 32 παράγραφος 2 στοιχείο δ) του κατ’ εξουσιοδότηση κανονισμού (ΕΕ) 2015/61 της Επιτροπής. Η θέση περιλαμβάνει ποσά που οφείλονται βάσει σύμβασης εντός 30 ημερολογιακών ημερών, όπως μερίσματα σε μετρητά από τους εν λόγω κύριους δείκτες και μετρητά που οφείλονται από τα εν λόγω μετοχικά μέσα που έχουν πωληθεί, αλλά δεν έχουν ακόμη διακανονιστεί, εάν δεν αναγνωρίζονται ως ρευστά στοιχεία ενεργητικού σύμφωνα με τον τίτλο II του κατ’ εξουσιοδότηση κανονισμού (ΕΕ) 2015/61 της Επιτροπής.</w:t>
            </w:r>
          </w:p>
          <w:p w14:paraId="51203A77"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εισροές από την αποδέσμευση υπολοίπων που τηρούνται σε χωριστούς λογαριασμούς, σύμφωνα με τις κανονιστικές απαιτήσεις για την προστασία των στοιχείων ενεργητικού που αποτελούν αντικείμενο συναλλαγών πελατών, όπως προβλέπεται στο άρθρο 32 παράγραφος 4 του κατ’ εξουσιοδότηση κανονισμού (ΕΕ) 2015/61 της Επιτροπής. Εισροές λαμβάνονται υπόψη μόνον εάν τα εν λόγω υπόλοιπα τηρούνται σε ρευστά στοιχεία ενεργητικού, όπως ορίζεται στον τίτλο ΙΙ του κατ’ εξουσιοδότηση κανονισμού (ΕΕ) 2015/61 της Επιτροπής. </w:t>
            </w:r>
          </w:p>
          <w:p w14:paraId="5C6FC3C4"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εισροές από παράγωγα, όπως προβλέπεται στο άρθρο 32 παράγραφος 5 σε συνδυασμό με το άρθρο 21 του κατ’ εξουσιοδότηση κανονισμού (ΕΕ) 2015/61 της Επιτροπής.</w:t>
            </w:r>
          </w:p>
          <w:p w14:paraId="46B61C8E"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εισροές από μη </w:t>
            </w:r>
            <w:proofErr w:type="spellStart"/>
            <w:r>
              <w:rPr>
                <w:rFonts w:ascii="Times New Roman" w:hAnsi="Times New Roman"/>
                <w:sz w:val="24"/>
              </w:rPr>
              <w:t>αναληφθείσες</w:t>
            </w:r>
            <w:proofErr w:type="spellEnd"/>
            <w:r>
              <w:rPr>
                <w:rFonts w:ascii="Times New Roman" w:hAnsi="Times New Roman"/>
                <w:sz w:val="24"/>
              </w:rPr>
              <w:t xml:space="preserve"> πιστωτικές ή ταμειακές διευκολύνσεις που παρέχονται από μέλη ομίλου ή θεσμικού συστήματος προστασίας, όταν οι αρμόδιες αρχές έχουν επιτρέψει την εφαρμογή υψηλότερου ποσοστού εισροής σύμφωνα με το άρθρο 34 του κατ' εξουσιοδότηση κανονισμού (ΕΕ) 2015/61 της Επιτροπής. </w:t>
            </w:r>
          </w:p>
          <w:p w14:paraId="53725212"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b/>
                <w:sz w:val="24"/>
              </w:rPr>
            </w:pPr>
            <w:r>
              <w:rPr>
                <w:rFonts w:ascii="Times New Roman" w:hAnsi="Times New Roman"/>
                <w:sz w:val="24"/>
              </w:rPr>
              <w:t xml:space="preserve">άλλες εισροές σύμφωνα με το άρθρο 32 παράγραφος 2 του κατ’ εξουσιοδότηση κανονισμού (ΕΕ) 2015/61 της Επιτροπής. </w:t>
            </w:r>
          </w:p>
        </w:tc>
      </w:tr>
      <w:tr w:rsidR="007E1815" w:rsidRPr="007F4CC8" w14:paraId="64E3E330" w14:textId="77777777" w:rsidTr="00D819DE">
        <w:trPr>
          <w:trHeight w:val="316"/>
        </w:trPr>
        <w:tc>
          <w:tcPr>
            <w:tcW w:w="1384" w:type="dxa"/>
          </w:tcPr>
          <w:p w14:paraId="581D75AD"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EU-19α</w:t>
            </w:r>
          </w:p>
        </w:tc>
        <w:tc>
          <w:tcPr>
            <w:tcW w:w="7655" w:type="dxa"/>
          </w:tcPr>
          <w:p w14:paraId="7D38534C" w14:textId="77777777" w:rsidR="007E1815" w:rsidRPr="007F4CC8" w:rsidRDefault="007E1815" w:rsidP="00D819DE">
            <w:pPr>
              <w:spacing w:before="120" w:after="120" w:line="278" w:lineRule="exact"/>
              <w:rPr>
                <w:rFonts w:ascii="Times New Roman" w:hAnsi="Times New Roman" w:cs="Times New Roman"/>
                <w:b/>
                <w:sz w:val="24"/>
              </w:rPr>
            </w:pPr>
            <w:r>
              <w:rPr>
                <w:rFonts w:ascii="Times New Roman" w:hAnsi="Times New Roman"/>
                <w:b/>
                <w:sz w:val="24"/>
              </w:rPr>
              <w:t>(Διαφορά μεταξύ των συνολικών σταθμισμένων εισροών και των συνολικών σταθμισμένων εκροών που προκύπτουν από συναλλαγές σε τρίτες χώρες όπου υπάρχουν περιορισμοί μεταφοράς ή είναι εκφρασμένες σε μη μετατρέψιμα νομίσματα)</w:t>
            </w:r>
          </w:p>
          <w:p w14:paraId="74E08890" w14:textId="77777777" w:rsidR="007E1815" w:rsidRPr="007F4CC8" w:rsidRDefault="007E1815" w:rsidP="00D819DE">
            <w:pPr>
              <w:spacing w:after="120" w:line="278" w:lineRule="exact"/>
              <w:jc w:val="both"/>
              <w:rPr>
                <w:rFonts w:ascii="Times New Roman" w:hAnsi="Times New Roman" w:cs="Times New Roman"/>
                <w:sz w:val="24"/>
              </w:rPr>
            </w:pPr>
            <w:r>
              <w:rPr>
                <w:rFonts w:ascii="Times New Roman" w:hAnsi="Times New Roman"/>
                <w:sz w:val="24"/>
              </w:rPr>
              <w:t>Όπως προβλέπεται στο άρθρο 32 παράγραφος 8 του κατ’ εξουσιοδότηση κανονισμού (ΕΕ) 2015/61 της Επιτροπής, τα ιδρύματα δημοσιοποιούν ως τη σταθμισμένη αξία το πλεονάζον ποσό των εν λόγω σταθμισμένων εισροών σε σχέση με τις εν λόγω εκροές.</w:t>
            </w:r>
          </w:p>
        </w:tc>
      </w:tr>
      <w:tr w:rsidR="007E1815" w:rsidRPr="007F4CC8" w14:paraId="2E7E87F2" w14:textId="77777777" w:rsidTr="00D819DE">
        <w:trPr>
          <w:trHeight w:val="316"/>
        </w:trPr>
        <w:tc>
          <w:tcPr>
            <w:tcW w:w="1384" w:type="dxa"/>
          </w:tcPr>
          <w:p w14:paraId="158F916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EU-19β</w:t>
            </w:r>
          </w:p>
        </w:tc>
        <w:tc>
          <w:tcPr>
            <w:tcW w:w="7655" w:type="dxa"/>
          </w:tcPr>
          <w:p w14:paraId="3FCA5557" w14:textId="77777777" w:rsidR="007E1815" w:rsidRPr="007F4CC8" w:rsidRDefault="007E1815" w:rsidP="00D819DE">
            <w:pPr>
              <w:spacing w:before="120" w:after="120" w:line="190" w:lineRule="exact"/>
              <w:jc w:val="both"/>
              <w:rPr>
                <w:rFonts w:ascii="Times New Roman" w:hAnsi="Times New Roman" w:cs="Times New Roman"/>
                <w:b/>
                <w:sz w:val="24"/>
              </w:rPr>
            </w:pPr>
            <w:r>
              <w:rPr>
                <w:rFonts w:ascii="Times New Roman" w:hAnsi="Times New Roman"/>
                <w:b/>
                <w:sz w:val="24"/>
              </w:rPr>
              <w:t>(Πλεονάζον ποσό εισροών από συνδεόμενο ειδικευμένο πιστωτικό ίδρυμα)</w:t>
            </w:r>
          </w:p>
          <w:p w14:paraId="5038CF89"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Όπως προβλέπεται στο άρθρο 2 παράγραφος 3 στοιχείο ε) και στο άρθρο 33 παράγραφος 6 του κατ’ εξουσιοδότηση κανονισμού (ΕΕ) 2015/61 της Επιτροπής, τα πιστωτικά ιδρύματα, για τους σκοπούς της δημοσιοποίησης σε ενοποιημένη βάση, δημοσιοποιούν ως τη σταθμισμένη αξία τις εισροές που προκύπτουν από το σχετικό εξειδικευμένο πιστωτικό ίδρυμα που αναφέρεται στο άρθρο 33 παράγραφοι 3 και 4 του κατ’ εξουσιοδότηση κανονισμού </w:t>
            </w:r>
            <w:r>
              <w:rPr>
                <w:rFonts w:ascii="Times New Roman" w:hAnsi="Times New Roman"/>
                <w:sz w:val="24"/>
              </w:rPr>
              <w:lastRenderedPageBreak/>
              <w:t>(ΕΕ) 2015/61 της Επιτροπής, οι οποίες υπερβαίνουν το ποσό των εκροών που προκύπτουν από την ίδια επιχείρηση.</w:t>
            </w:r>
          </w:p>
        </w:tc>
      </w:tr>
      <w:tr w:rsidR="007E1815" w:rsidRPr="007F4CC8" w14:paraId="707030E1" w14:textId="77777777" w:rsidTr="00D819DE">
        <w:trPr>
          <w:trHeight w:val="316"/>
        </w:trPr>
        <w:tc>
          <w:tcPr>
            <w:tcW w:w="1384" w:type="dxa"/>
          </w:tcPr>
          <w:p w14:paraId="47322C3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20</w:t>
            </w:r>
          </w:p>
        </w:tc>
        <w:tc>
          <w:tcPr>
            <w:tcW w:w="7655" w:type="dxa"/>
          </w:tcPr>
          <w:p w14:paraId="6AD67FD5"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ΣΥΝΟΛΟ ΤΑΜΕΙΑΚΩΝ ΕΙΣΡΟΩΝ</w:t>
            </w:r>
          </w:p>
          <w:p w14:paraId="41F31061" w14:textId="77777777" w:rsidR="007E1815" w:rsidRPr="007F4CC8" w:rsidRDefault="007E1815" w:rsidP="00D819DE">
            <w:pPr>
              <w:spacing w:after="120" w:line="288" w:lineRule="exact"/>
              <w:rPr>
                <w:rFonts w:ascii="Times New Roman" w:hAnsi="Times New Roman" w:cs="Times New Roman"/>
                <w:sz w:val="24"/>
              </w:rPr>
            </w:pPr>
            <w:r>
              <w:rPr>
                <w:rFonts w:ascii="Times New Roman" w:hAnsi="Times New Roman"/>
                <w:sz w:val="24"/>
              </w:rPr>
              <w:t>Τα ιδρύματα δημοσιοποιούν το άθροισμα της μη σταθμισμένης και της σταθμισμένης αξίας των ακόλουθων στοιχείων σύμφωνα με τις παρακάτω οδηγίες:</w:t>
            </w:r>
          </w:p>
          <w:p w14:paraId="24C838C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 xml:space="preserve">Γραμμή 17: Εξασφαλισμένες πιστοδοτήσεις (π.χ. </w:t>
            </w:r>
            <w:proofErr w:type="spellStart"/>
            <w:r>
              <w:rPr>
                <w:rFonts w:ascii="Times New Roman" w:hAnsi="Times New Roman"/>
                <w:sz w:val="24"/>
              </w:rPr>
              <w:t>αντιστρεπτέα</w:t>
            </w:r>
            <w:proofErr w:type="spellEnd"/>
            <w:r>
              <w:rPr>
                <w:rFonts w:ascii="Times New Roman" w:hAnsi="Times New Roman"/>
                <w:sz w:val="24"/>
              </w:rPr>
              <w:t xml:space="preserve"> επαναγορά) του παρόντος υποδείγματος</w:t>
            </w:r>
          </w:p>
          <w:p w14:paraId="3036CE1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18: Εισροές από εξυπηρετούμενα ανοίγματα του παρόντος υποδείγματος</w:t>
            </w:r>
          </w:p>
          <w:p w14:paraId="418DDB45"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19: Λοιπές ταμειακές εισροές του παρόντος υποδείγματος</w:t>
            </w:r>
          </w:p>
          <w:p w14:paraId="7A21AA66"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μείον:</w:t>
            </w:r>
          </w:p>
          <w:p w14:paraId="7892FE11"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EU-19α: (Διαφορά μεταξύ των συνολικών σταθμισμένων εισροών και των συνολικών σταθμισμένων εκροών που προκύπτουν από συναλλαγές σε τρίτες χώρες όπου υπάρχουν περιορισμοί μεταφοράς ή είναι εκφρασμένες σε μη μετατρέψιμα νομίσματα) του παρόντος υποδείγματος</w:t>
            </w:r>
          </w:p>
          <w:p w14:paraId="3A29CB7C" w14:textId="77777777" w:rsidR="007E1815" w:rsidRPr="007F4CC8" w:rsidRDefault="007E1815" w:rsidP="007E1815">
            <w:pPr>
              <w:pStyle w:val="ListParagraph"/>
              <w:numPr>
                <w:ilvl w:val="0"/>
                <w:numId w:val="5"/>
              </w:numPr>
              <w:autoSpaceDE w:val="0"/>
              <w:autoSpaceDN w:val="0"/>
              <w:adjustRightInd w:val="0"/>
              <w:spacing w:after="120"/>
              <w:contextualSpacing/>
              <w:jc w:val="both"/>
              <w:rPr>
                <w:rFonts w:ascii="Times New Roman" w:hAnsi="Times New Roman"/>
                <w:sz w:val="24"/>
              </w:rPr>
            </w:pPr>
            <w:r>
              <w:rPr>
                <w:rFonts w:ascii="Times New Roman" w:hAnsi="Times New Roman"/>
                <w:sz w:val="24"/>
              </w:rPr>
              <w:t>Γραμμή EU-19β: (Πλεονάζον ποσό εισροών από συνδεόμενο ειδικευμένο πιστωτικό ίδρυμα) του παρόντος υποδείγματος.</w:t>
            </w:r>
          </w:p>
        </w:tc>
      </w:tr>
      <w:tr w:rsidR="007E1815" w:rsidRPr="007F4CC8" w14:paraId="69EE9490" w14:textId="77777777" w:rsidTr="00D819DE">
        <w:trPr>
          <w:trHeight w:val="316"/>
        </w:trPr>
        <w:tc>
          <w:tcPr>
            <w:tcW w:w="1384" w:type="dxa"/>
          </w:tcPr>
          <w:p w14:paraId="1B1029F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EU-20α</w:t>
            </w:r>
          </w:p>
        </w:tc>
        <w:tc>
          <w:tcPr>
            <w:tcW w:w="7655" w:type="dxa"/>
          </w:tcPr>
          <w:p w14:paraId="5626B6E1"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Πλήρως εξαιρούμενες εισροές</w:t>
            </w:r>
          </w:p>
          <w:p w14:paraId="2642C0E3"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Τα ιδρύματα δημοσιοποιούν ως τη μη σταθμισμένη αξία και ως τη σταθμισμένη αξία το συνολικό ποσό των στοιχείων του ενεργητικού/οφειλόμενων ποσών/το μέγιστο ποσό που μπορεί να αναληφθεί και τις σχετικές συνολικές εισροές τους, αντίστοιχα, οι οποίες εξαιρούνται από το ανώτατο όριο εισροών σύμφωνα με το άρθρο 32, το άρθρο 33 και το άρθρο 34 του κατ’ εξουσιοδότηση κανονισμού (ΕΕ) 2015/61 της Επιτροπής.</w:t>
            </w:r>
          </w:p>
        </w:tc>
      </w:tr>
      <w:tr w:rsidR="007E1815" w:rsidRPr="007F4CC8" w14:paraId="00E79BE0" w14:textId="77777777" w:rsidTr="00D819DE">
        <w:trPr>
          <w:trHeight w:val="316"/>
        </w:trPr>
        <w:tc>
          <w:tcPr>
            <w:tcW w:w="1384" w:type="dxa"/>
          </w:tcPr>
          <w:p w14:paraId="00C638D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EU-20β</w:t>
            </w:r>
          </w:p>
        </w:tc>
        <w:tc>
          <w:tcPr>
            <w:tcW w:w="7655" w:type="dxa"/>
          </w:tcPr>
          <w:p w14:paraId="4F7EA854"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Εισροές υποκείμενες σε ανώτατο όριο 90 %</w:t>
            </w:r>
          </w:p>
          <w:p w14:paraId="490C88C4" w14:textId="77777777" w:rsidR="007E1815" w:rsidRPr="007F4CC8" w:rsidRDefault="007E1815" w:rsidP="00D819DE">
            <w:pPr>
              <w:spacing w:after="120"/>
              <w:jc w:val="both"/>
              <w:rPr>
                <w:rFonts w:ascii="Times New Roman" w:hAnsi="Times New Roman" w:cs="Times New Roman"/>
                <w:b/>
                <w:sz w:val="24"/>
              </w:rPr>
            </w:pPr>
            <w:r>
              <w:rPr>
                <w:rFonts w:ascii="Times New Roman" w:hAnsi="Times New Roman"/>
                <w:sz w:val="24"/>
              </w:rPr>
              <w:t>Τα ιδρύματα δημοσιοποιούν ως τη μη σταθμισμένη αξία και ως τη σταθμισμένη αξία το συνολικό ποσό των στοιχείων του ενεργητικού/ οφειλόμενων ποσών/ το μέγιστο ποσό που μπορεί να αναληφθεί και τις σχετικές συνολικές εισροές τους, αντίστοιχα, οι οποίες υπόκεινται στο ανώτατο όριο εισροών 90 % σύμφωνα με το άρθρο 32, το άρθρο 33 και το άρθρο 34 του κατ’ εξουσιοδότηση κανονισμού (ΕΕ) 2015/61 της Επιτροπής.</w:t>
            </w:r>
          </w:p>
        </w:tc>
      </w:tr>
      <w:tr w:rsidR="007E1815" w:rsidRPr="007F4CC8" w14:paraId="7677F56D" w14:textId="77777777" w:rsidTr="00D819DE">
        <w:trPr>
          <w:trHeight w:val="316"/>
        </w:trPr>
        <w:tc>
          <w:tcPr>
            <w:tcW w:w="1384" w:type="dxa"/>
          </w:tcPr>
          <w:p w14:paraId="50539D97"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EU-20γ</w:t>
            </w:r>
          </w:p>
        </w:tc>
        <w:tc>
          <w:tcPr>
            <w:tcW w:w="7655" w:type="dxa"/>
          </w:tcPr>
          <w:p w14:paraId="32D1930F" w14:textId="77777777" w:rsidR="007E1815" w:rsidRPr="007F4CC8" w:rsidRDefault="007E1815" w:rsidP="00D819DE">
            <w:pPr>
              <w:spacing w:before="120" w:after="120" w:line="190" w:lineRule="exact"/>
              <w:rPr>
                <w:rFonts w:ascii="Times New Roman" w:hAnsi="Times New Roman" w:cs="Times New Roman"/>
                <w:b/>
                <w:sz w:val="24"/>
              </w:rPr>
            </w:pPr>
            <w:r>
              <w:rPr>
                <w:rFonts w:ascii="Times New Roman" w:hAnsi="Times New Roman"/>
                <w:b/>
                <w:sz w:val="24"/>
              </w:rPr>
              <w:t>Εισροές υποκείμενες σε ανώτατο όριο 75 %</w:t>
            </w:r>
          </w:p>
          <w:p w14:paraId="2D03664A" w14:textId="77777777" w:rsidR="007E1815" w:rsidRPr="007F4CC8" w:rsidRDefault="007E1815" w:rsidP="00D819DE">
            <w:pPr>
              <w:spacing w:after="120" w:line="288" w:lineRule="exact"/>
              <w:jc w:val="both"/>
              <w:rPr>
                <w:rFonts w:ascii="Times New Roman" w:hAnsi="Times New Roman" w:cs="Times New Roman"/>
                <w:b/>
                <w:sz w:val="24"/>
              </w:rPr>
            </w:pPr>
            <w:r>
              <w:rPr>
                <w:rFonts w:ascii="Times New Roman" w:hAnsi="Times New Roman"/>
                <w:sz w:val="24"/>
              </w:rPr>
              <w:t>Τα ιδρύματα δημοσιοποιούν ως τη μη σταθμισμένη αξία και ως τη σταθμισμένη αξία το συνολικό ποσό των στοιχείων του ενεργητικού/ οφειλόμενων ποσών/ το μέγιστο ποσό που μπορεί να αναληφθεί και τις σχετικές συνολικές εισροές τους, αντίστοιχα, οι οποίες υπόκεινται στο ανώτατο όριο εισροών 75 % σύμφωνα με το άρθρο 32, το άρθρο 33 και το άρθρο 34 του κατ’ εξουσιοδότηση κανονισμού (ΕΕ) 2015/61 της Επιτροπής.</w:t>
            </w:r>
          </w:p>
        </w:tc>
      </w:tr>
      <w:tr w:rsidR="007E1815" w:rsidRPr="007F4CC8" w14:paraId="520F14A1" w14:textId="77777777" w:rsidTr="00D819DE">
        <w:trPr>
          <w:trHeight w:val="316"/>
        </w:trPr>
        <w:tc>
          <w:tcPr>
            <w:tcW w:w="1384" w:type="dxa"/>
          </w:tcPr>
          <w:p w14:paraId="730F60EA"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EU-21</w:t>
            </w:r>
          </w:p>
        </w:tc>
        <w:tc>
          <w:tcPr>
            <w:tcW w:w="7655" w:type="dxa"/>
          </w:tcPr>
          <w:p w14:paraId="3005D6D6"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ΑΠΟΘΕΜΑ ΑΣΦΑΛΕΙΑΣ ΡΕΥΣΤΟΤΗΤΑΣ</w:t>
            </w:r>
          </w:p>
          <w:p w14:paraId="6B0FA3E2" w14:textId="77777777" w:rsidR="007E1815" w:rsidRPr="007F4CC8" w:rsidRDefault="007E1815" w:rsidP="00D819DE">
            <w:pPr>
              <w:autoSpaceDE w:val="0"/>
              <w:autoSpaceDN w:val="0"/>
              <w:adjustRightInd w:val="0"/>
              <w:spacing w:after="120"/>
              <w:jc w:val="both"/>
              <w:rPr>
                <w:rFonts w:ascii="Times New Roman" w:hAnsi="Times New Roman" w:cs="Times New Roman"/>
                <w:b/>
                <w:sz w:val="24"/>
              </w:rPr>
            </w:pPr>
            <w:r>
              <w:rPr>
                <w:rFonts w:ascii="Times New Roman" w:hAnsi="Times New Roman"/>
                <w:sz w:val="24"/>
              </w:rPr>
              <w:t xml:space="preserve">Τα ιδρύματα δημοσιοποιούν ως προσαρμοσμένη αξία την αξία του αποθέματος ασφαλείας ρευστότητας του ιδρύματος υπολογιζόμενου σύμφωνα με το παράρτημα Ι – Τύποι για τον προσδιορισμό της σύνθεσης του </w:t>
            </w:r>
            <w:r>
              <w:rPr>
                <w:rFonts w:ascii="Times New Roman" w:hAnsi="Times New Roman"/>
                <w:sz w:val="24"/>
              </w:rPr>
              <w:lastRenderedPageBreak/>
              <w:t>αποθέματος ασφαλείας ρευστότητας του κατ’ εξουσιοδότηση κανονισμού (ΕΕ) 2015/61 της Επιτροπής.</w:t>
            </w:r>
          </w:p>
        </w:tc>
      </w:tr>
      <w:tr w:rsidR="007E1815" w:rsidRPr="007F4CC8" w14:paraId="1BE8238A" w14:textId="77777777" w:rsidTr="00D819DE">
        <w:trPr>
          <w:trHeight w:val="316"/>
        </w:trPr>
        <w:tc>
          <w:tcPr>
            <w:tcW w:w="1384" w:type="dxa"/>
          </w:tcPr>
          <w:p w14:paraId="27974453"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lastRenderedPageBreak/>
              <w:t>22</w:t>
            </w:r>
          </w:p>
        </w:tc>
        <w:tc>
          <w:tcPr>
            <w:tcW w:w="7655" w:type="dxa"/>
          </w:tcPr>
          <w:p w14:paraId="7124E3D7" w14:textId="77777777" w:rsidR="007E1815" w:rsidRPr="007F4CC8" w:rsidRDefault="007E1815" w:rsidP="00D819DE">
            <w:pPr>
              <w:spacing w:before="120" w:after="120" w:line="190" w:lineRule="exact"/>
              <w:rPr>
                <w:rFonts w:ascii="Times New Roman" w:hAnsi="Times New Roman"/>
                <w:sz w:val="24"/>
              </w:rPr>
            </w:pPr>
            <w:r>
              <w:rPr>
                <w:rFonts w:ascii="Times New Roman" w:hAnsi="Times New Roman"/>
                <w:b/>
                <w:sz w:val="24"/>
              </w:rPr>
              <w:t>ΣΥΝΟΛΟ ΚΑΘΑΡΩΝ ΤΑΜΕΙΑΚΩΝ ΕΚΡΟΩΝ</w:t>
            </w:r>
          </w:p>
          <w:p w14:paraId="2F459815"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προσαρμοσμένη αξία την καθαρή εκροή ρευστότητας η οποία ισούται με τις συνολικές εκροές από τις οποίες αφαιρούνται η μείωση που αντιστοιχεί στις πλήρως εξαιρούμενες εισροές, η μείωση που αντιστοιχεί στις εισροές που υπόκεινται στο ανώτατο όριο 90 % και η μείωση που αντιστοιχεί στις εισροές που υπόκεινται στο ανώτατο όριο 75 %.</w:t>
            </w:r>
          </w:p>
        </w:tc>
      </w:tr>
      <w:tr w:rsidR="007E1815" w:rsidRPr="007F4CC8" w14:paraId="2D61E9FD" w14:textId="77777777" w:rsidTr="00D819DE">
        <w:trPr>
          <w:trHeight w:val="316"/>
        </w:trPr>
        <w:tc>
          <w:tcPr>
            <w:tcW w:w="1384" w:type="dxa"/>
          </w:tcPr>
          <w:p w14:paraId="33A82AAB" w14:textId="77777777" w:rsidR="007E1815" w:rsidRPr="007F4CC8" w:rsidRDefault="007E1815" w:rsidP="00D819DE">
            <w:pPr>
              <w:autoSpaceDE w:val="0"/>
              <w:autoSpaceDN w:val="0"/>
              <w:adjustRightInd w:val="0"/>
              <w:spacing w:after="120"/>
              <w:jc w:val="center"/>
              <w:rPr>
                <w:rFonts w:ascii="Times New Roman" w:eastAsia="Times New Roman" w:hAnsi="Times New Roman" w:cs="Times New Roman"/>
                <w:sz w:val="24"/>
              </w:rPr>
            </w:pPr>
            <w:r>
              <w:rPr>
                <w:rFonts w:ascii="Times New Roman" w:hAnsi="Times New Roman"/>
                <w:sz w:val="24"/>
              </w:rPr>
              <w:t>23</w:t>
            </w:r>
          </w:p>
        </w:tc>
        <w:tc>
          <w:tcPr>
            <w:tcW w:w="7655" w:type="dxa"/>
          </w:tcPr>
          <w:p w14:paraId="5579AB2D" w14:textId="77777777" w:rsidR="007E1815" w:rsidRPr="007F4CC8" w:rsidRDefault="007E1815" w:rsidP="00D819DE">
            <w:pPr>
              <w:autoSpaceDE w:val="0"/>
              <w:autoSpaceDN w:val="0"/>
              <w:adjustRightInd w:val="0"/>
              <w:spacing w:before="120" w:after="120"/>
              <w:jc w:val="both"/>
              <w:rPr>
                <w:rFonts w:ascii="Times New Roman" w:hAnsi="Times New Roman"/>
                <w:sz w:val="24"/>
              </w:rPr>
            </w:pPr>
            <w:r>
              <w:rPr>
                <w:rFonts w:ascii="Times New Roman" w:hAnsi="Times New Roman"/>
                <w:b/>
                <w:sz w:val="24"/>
              </w:rPr>
              <w:t>ΔΕΙΚΤΗΣ ΚΑΛΥΨΗΣ ΡΕΥΣΤΟΤΗΤΑΣ (%)</w:t>
            </w:r>
          </w:p>
          <w:p w14:paraId="37A8BB02"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Τα ιδρύματα δημοσιοποιούν ως προσαρμοσμένη αξία το ποσοστό του στοιχείου «Δείκτης κάλυψης ρευστότητας (%)» όπως ορίζεται στο άρθρο 4 παράγραφος 1 του κατ’ εξουσιοδότηση κανονισμού (ΕΕ) 2015/61 της Επιτροπής.</w:t>
            </w:r>
          </w:p>
          <w:p w14:paraId="5F1B1783" w14:textId="77777777" w:rsidR="007E1815" w:rsidRPr="007F4CC8" w:rsidRDefault="007E1815"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Ο δείκτης κάλυψης ρευστότητας ισούται με τον λόγο του αποθέματος ασφαλείας ρευστότητας του πιστωτικού ιδρύματος προς τις καθαρές εκροές ρευστότητάς του κατά τη διάρκεια μιας περιόδου ακραίων συνθηκών 30 ημερολογιακών ημερών και εκφράζεται ως ποσοστό.</w:t>
            </w:r>
          </w:p>
        </w:tc>
      </w:tr>
    </w:tbl>
    <w:p w14:paraId="205A49E2" w14:textId="77777777" w:rsidR="007E1815" w:rsidRPr="007F4CC8" w:rsidRDefault="007E1815" w:rsidP="007E1815">
      <w:pPr>
        <w:rPr>
          <w:rFonts w:ascii="Times New Roman" w:hAnsi="Times New Roman" w:cs="Times New Roman"/>
          <w:sz w:val="24"/>
        </w:rPr>
      </w:pPr>
    </w:p>
    <w:p w14:paraId="42D114B4" w14:textId="77777777" w:rsidR="007E1815" w:rsidRPr="00DD0C4D" w:rsidRDefault="007E1815" w:rsidP="007E1815">
      <w:pPr>
        <w:pStyle w:val="Titlelevel2"/>
        <w:spacing w:before="120" w:after="120"/>
        <w:rPr>
          <w:rFonts w:ascii="Times New Roman" w:hAnsi="Times New Roman"/>
          <w:b/>
          <w:color w:val="auto"/>
          <w:sz w:val="24"/>
        </w:rPr>
      </w:pPr>
      <w:r>
        <w:rPr>
          <w:rFonts w:ascii="Times New Roman" w:hAnsi="Times New Roman"/>
          <w:b/>
          <w:color w:val="auto"/>
          <w:sz w:val="24"/>
        </w:rPr>
        <w:t xml:space="preserve">Πίνακας EU LIQB για ποιοτικές πληροφορίες σχετικά με τον δείκτη κάλυψης ρευστότητας, που συμπληρώνει το υπόδειγμα EU LIQ1. </w:t>
      </w:r>
    </w:p>
    <w:p w14:paraId="6A1420AB"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που υπόκεινται στο έκτο μέρος του KKA δημοσιοποιούν τις πληροφορίες που αναφέρονται στο άρθρο 451α παράγραφος 2 του ΚΚΑ ακολουθώντας τις οδηγίες που παρέχονται παρακάτω στο παρόν παράρτημα για τη συμπλήρωση του πίνακα EU LIQB, ο οποίος παρατίθεται στο παράρτημα XIII του παρόντος εκτελεστικού κανονισμού.</w:t>
      </w:r>
    </w:p>
    <w:p w14:paraId="213633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Ο πίνακας EU LIQB παρέχει ποιοτικές πληροφορίες για τα στοιχεία που περιλαμβάνονται στο υπόδειγμα EU LIQ1 σχετικά με τις ποσοτικές πληροφορίες για τον δείκτη κάλυψης ρευστότητας.</w:t>
      </w:r>
    </w:p>
    <w:p w14:paraId="376E776C"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που υπόκεινται στο έκτο μέρος του KKA θεωρούν τα πλαίσια κειμένου που παρέχονται σε αυτόν τον πίνακα ως πλαίσια ελεύθερου κειμένου και δημοσιοποιούν τα στοιχεία που περιλαμβάνονται εκεί, όπου είναι δυνατόν, σύμφωνα με την εκτίμησή τους στο πλαίσιο του ορισμού του δείκτη κάλυψης ρευστότητας στον κατ’ εξουσιοδότηση κανονισμό (ΕΕ) 2015/61 και των πρόσθετων μετρήσεων παρακολούθησης της ρευστότητας, όπως ορίζονται στο κεφάλαιο 7β του εκτελεστικού κανονισμού (ΕΕ) αριθ. 680/2014 της Επιτροπής</w:t>
      </w:r>
      <w:r w:rsidRPr="007F4CC8">
        <w:rPr>
          <w:rStyle w:val="FootnoteReference"/>
          <w:rFonts w:ascii="Times New Roman" w:hAnsi="Times New Roman" w:cs="Times New Roman"/>
          <w:sz w:val="24"/>
        </w:rPr>
        <w:footnoteReference w:id="6"/>
      </w:r>
      <w:r>
        <w:rPr>
          <w:rFonts w:ascii="Times New Roman" w:hAnsi="Times New Roman"/>
          <w:sz w:val="24"/>
        </w:rPr>
        <w:t>.</w:t>
      </w:r>
    </w:p>
    <w:p w14:paraId="23E8414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Οδηγίες για το υπόδειγμα EU LIQ2 σχετικά με τη δημοσιοποίηση του δείκτη καθαρής σταθερής χρηματοδότησης (NSFR)</w:t>
      </w:r>
    </w:p>
    <w:p w14:paraId="201E035D"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Τα ιδρύματα που υπόκεινται στο έκτο μέρος του KKA δημοσιοποιούν τις πληροφορίες που περιλαμβάνονται στο υπόδειγμα EU LIQ2 κατ’ εφαρμογή του </w:t>
      </w:r>
      <w:r>
        <w:rPr>
          <w:rFonts w:ascii="Times New Roman" w:hAnsi="Times New Roman"/>
          <w:sz w:val="24"/>
        </w:rPr>
        <w:lastRenderedPageBreak/>
        <w:t xml:space="preserve">άρθρου 451α παράγραφος 3 του ΚΚΑ σύμφωνα με τις οδηγίες που περιλαμβάνονται στο παρόν παράρτημα. Δημοσιοποιούνται τα τριμηνιαία αριθμητικά στοιχεία για κάθε τρίμηνο της σχετικής περιόδου δημοσιοποίησης. Για την ετήσια δημοσιοποίηση, λόγου χάρη, περιλαμβάνονται τέσσερα σύνολα δεδομένων που καλύπτουν το τελευταίο και τα τρία προηγούμενα τρίμηνα. </w:t>
      </w:r>
    </w:p>
    <w:p w14:paraId="3A73B8D7"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Οι πληροφορίες που απαιτούνται στο υπόδειγμα EU LIQ2 περιλαμβάνουν όλα τα στοιχεία ενεργητικού, υποχρεώσεις και στοιχεία εκτός ισολογισμού ανεξάρτητα από το νόμισμα στο οποίο είναι εκπεφρασμένα και δημοσιοποιούνται στο νόμισμα αναφοράς όπως ορίζεται στο άρθρο 411 παράγραφος 15 του ΚΚΑ.</w:t>
      </w:r>
    </w:p>
    <w:p w14:paraId="0486D079"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Για να αποφεύγεται η διπλή προσμέτρηση, τα ιδρύματα δεν δημοσιοποιούν στοιχεία ενεργητικού ή υποχρεώσεις που συνδέονται με εξασφαλίσεις που παρέχονται ή λαμβάνονται ως περιθώριο διαφορών αποτίμησης σύμφωνα με το άρθρο 428ια παράγραφος 4 του ΚΚΑ και με το άρθρο 428λδ παράγραφος 2 του ΚΚΑ, αρχικό περιθώριο και εισφορά στο κεφάλαιο εκκαθάρισης κεντρικού αντισυμβαλλομένου σύμφωνα με το άρθρο 428λγ στοιχείο α) και το άρθρο 428λγ στοιχείο β) του ΚΚΑ.</w:t>
      </w:r>
    </w:p>
    <w:p w14:paraId="42F8668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Οι καταθέσεις που διατηρούνται στο πλαίσιο συστήματος θεσμικής προστασίας ή συνεταιριστικού δικτύου που θεωρούνται ρευστά περιουσιακά στοιχεία δημοσιοποιούνται αναλόγως. Άλλα στοιχεία εντός ομάδας ή συστήματος θεσμικής προστασίας δημοσιοποιούνται στις σχετικές γενικές κατηγορίες στο υπόδειγμα της απαιτούμενης ή διαθέσιμης σταθερής χρηματοδότησης.</w:t>
      </w:r>
    </w:p>
    <w:p w14:paraId="4E83430E"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Τα ιδρύματα δημοσιοποιούν πάντοτε ως «Μη σταθμισμένη αξία κατά εναπομένουσα </w:t>
      </w:r>
      <w:proofErr w:type="spellStart"/>
      <w:r>
        <w:rPr>
          <w:rFonts w:ascii="Times New Roman" w:hAnsi="Times New Roman"/>
          <w:sz w:val="24"/>
        </w:rPr>
        <w:t>ληκτότητα</w:t>
      </w:r>
      <w:proofErr w:type="spellEnd"/>
      <w:r>
        <w:rPr>
          <w:rFonts w:ascii="Times New Roman" w:hAnsi="Times New Roman"/>
          <w:sz w:val="24"/>
        </w:rPr>
        <w:t>» στις στήλες α, β, γ και δ του υποδείγματος τις λογιστικές αξίες, εκτός από τις περιπτώσεις συμβάσεων παραγώγων, για τις οποίες τα ιδρύματα παραπέμπουν στην εύλογη αξία όπως ορίζεται στο άρθρο 428δ παράγραφος 2 του ΚΚΑ.</w:t>
      </w:r>
    </w:p>
    <w:p w14:paraId="1CB05863"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δημοσιοποιούν τη «σταθμισμένη αξία» στη στήλη ε του παρόντος υποδείγματος. Η τιμή αυτή αντικατοπτρίζει την αξία σύμφωνα με το άρθρο 428γ παράγραφος 2 του ΚΚΑ που είναι το αποτέλεσμα της μη σταθμισμένης αξίας πολλαπλασιαζόμενη με τους συντελεστές σταθερής χρηματοδότησης.</w:t>
      </w:r>
    </w:p>
    <w:p w14:paraId="343BA1D0"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Το ποσό του ενεργητικού και παθητικού που προκύπτει από συναλλαγές χρηματοδότησης τίτλων (ΣΧΤ) με έναν μόνο αντισυμβαλλόμενο λαμβάνεται υπόψη σε καθαρή βάση όπου εφαρμόζεται το άρθρο 428ε του ΚΚΑ. Στην περίπτωση που οι μεμονωμένες καθαρές αυτές συναλλαγές υπόκειντο σε διαφορετικούς συντελεστές απαιτούμενης σταθερής χρηματοδότησης (RSF) εξεταζόμενες ξεχωριστά, το καθαρό ποσό που δημοσιοποιείται, εάν πρόκειται για στοιχείο του ενεργητικού, υπόκειται στον υψηλότερο συντελεστή RSF αυτών.</w:t>
      </w:r>
    </w:p>
    <w:p w14:paraId="6EBB65D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παρέχουν στο κείμενο που συνοδεύει το παρόν υπόδειγμα κάθε εξήγηση που απαιτείται προς διευκόλυνση της κατανόησης των αποτελεσμάτων και των συνοδευτικών δεδομένων. Κατ’ ελάχιστον, τα ιδρύματα εξηγούν τα εξής:</w:t>
      </w:r>
    </w:p>
    <w:p w14:paraId="263F4C5D"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τις βάσεις των αποτελεσμάτων NSFR και τους λόγους για μεταβολές εντός των περιόδων, καθώς και τις μεταβολές με την πάροδο του χρόνου (π.χ. μεταβολές στις στρατηγικές, τη δομή χρηματοδότησης, τις περιστάσεις) και</w:t>
      </w:r>
    </w:p>
    <w:p w14:paraId="6561627A" w14:textId="77777777" w:rsidR="007E1815" w:rsidRPr="007F4CC8" w:rsidRDefault="007E1815" w:rsidP="007E1815">
      <w:pPr>
        <w:pStyle w:val="ListNumber"/>
        <w:numPr>
          <w:ilvl w:val="0"/>
          <w:numId w:val="0"/>
        </w:numPr>
        <w:ind w:left="1071"/>
        <w:jc w:val="both"/>
        <w:rPr>
          <w:rFonts w:ascii="Times New Roman" w:hAnsi="Times New Roman"/>
          <w:sz w:val="24"/>
        </w:rPr>
      </w:pPr>
    </w:p>
    <w:p w14:paraId="640BC23A"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τη σύνθεση των αλληλεξαρτώμενων στοιχείων του ενεργητικού και παθητικού του ιδρύματος και σε ποιο βαθμό οι συναλλαγές αυτές είναι αλληλένδετες.</w:t>
      </w:r>
    </w:p>
    <w:p w14:paraId="32271818" w14:textId="77777777" w:rsidR="007E1815" w:rsidRPr="007F4CC8" w:rsidRDefault="007E1815" w:rsidP="007E1815">
      <w:pPr>
        <w:rPr>
          <w:rFonts w:ascii="Times New Roman" w:hAnsi="Times New Roman"/>
          <w:b/>
          <w:sz w:val="24"/>
        </w:rPr>
      </w:pPr>
      <w:r>
        <w:rPr>
          <w:rFonts w:ascii="Times New Roman" w:hAnsi="Times New Roman"/>
          <w:b/>
          <w:sz w:val="24"/>
        </w:rPr>
        <w:t>Στοιχεία διαθέσιμης σταθερής χρηματοδότησης (ASF)</w:t>
      </w:r>
    </w:p>
    <w:p w14:paraId="20D40F36"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lastRenderedPageBreak/>
        <w:t>Σύμφωνα με το άρθρο 428θ του ΚΚΑ, εκτός αν ορίζεται άλλως στο έκτο μέρος τίτλος IV κεφάλαιο 3 του ΚΚΑ, το ποσό της διαθέσιμης σταθερής χρηματοδότησης (ASF) υπολογίζεται με πολλαπλασιασμό του ποσού των στοιχείων παθητικού και των ιδίων κεφαλαίων, ως μη σταθμισμένη αξία, επί τους συντελεστές διαθέσιμης σταθερής χρηματοδότησης. Η σταθμισμένη αξία στη στήλη «ε» του παρόντος υποδείγματος αντικατοπτρίζει το ποσό της διαθέσιμης σταθερής χρηματοδότησης.</w:t>
      </w:r>
    </w:p>
    <w:p w14:paraId="025850D4"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Όλα τα στοιχεία παθητικού και τα ίδια κεφάλαια δημοσιοποιούνται με ανάλυση βάσει της εναπομένουσας </w:t>
      </w:r>
      <w:proofErr w:type="spellStart"/>
      <w:r>
        <w:rPr>
          <w:rFonts w:ascii="Times New Roman" w:hAnsi="Times New Roman"/>
          <w:sz w:val="24"/>
        </w:rPr>
        <w:t>ληκτότητάς</w:t>
      </w:r>
      <w:proofErr w:type="spellEnd"/>
      <w:r>
        <w:rPr>
          <w:rFonts w:ascii="Times New Roman" w:hAnsi="Times New Roman"/>
          <w:sz w:val="24"/>
        </w:rPr>
        <w:t xml:space="preserve"> τους στις στήλες α, β, γ και δ του παρόντος υποδείγματος, υπολογιζόμενη σύμφωνα με τα άρθρα 428ι, 428ιε και 428λζ του ΚΚΑ, με την ακόλουθη ανάλυση όσον αφορά τα κλιμάκια </w:t>
      </w:r>
      <w:proofErr w:type="spellStart"/>
      <w:r>
        <w:rPr>
          <w:rFonts w:ascii="Times New Roman" w:hAnsi="Times New Roman"/>
          <w:sz w:val="24"/>
        </w:rPr>
        <w:t>ληκτότητας</w:t>
      </w:r>
      <w:proofErr w:type="spellEnd"/>
      <w:r>
        <w:rPr>
          <w:rFonts w:ascii="Times New Roman" w:hAnsi="Times New Roman"/>
          <w:sz w:val="24"/>
        </w:rPr>
        <w:t>:</w:t>
      </w:r>
    </w:p>
    <w:p w14:paraId="11219010" w14:textId="77777777" w:rsidR="007E1815" w:rsidRPr="007F4CC8" w:rsidRDefault="007E1815" w:rsidP="007E1815">
      <w:pPr>
        <w:pStyle w:val="ListNumber"/>
        <w:numPr>
          <w:ilvl w:val="0"/>
          <w:numId w:val="0"/>
        </w:numPr>
        <w:ind w:left="714"/>
        <w:jc w:val="both"/>
        <w:rPr>
          <w:rFonts w:ascii="Times New Roman" w:hAnsi="Times New Roman"/>
          <w:sz w:val="24"/>
        </w:rPr>
      </w:pPr>
    </w:p>
    <w:p w14:paraId="4FA06E63" w14:textId="77777777" w:rsidR="007E1815" w:rsidRPr="007F4CC8" w:rsidRDefault="007E1815" w:rsidP="007E1815">
      <w:pPr>
        <w:pStyle w:val="ListNumber"/>
        <w:numPr>
          <w:ilvl w:val="1"/>
          <w:numId w:val="12"/>
        </w:numPr>
        <w:spacing w:after="150"/>
        <w:jc w:val="both"/>
        <w:rPr>
          <w:rFonts w:ascii="Times New Roman" w:hAnsi="Times New Roman"/>
          <w:sz w:val="24"/>
        </w:rPr>
      </w:pPr>
      <w:r>
        <w:rPr>
          <w:rFonts w:ascii="Times New Roman" w:hAnsi="Times New Roman"/>
          <w:sz w:val="24"/>
        </w:rPr>
        <w:t xml:space="preserve">χωρίς </w:t>
      </w:r>
      <w:proofErr w:type="spellStart"/>
      <w:r>
        <w:rPr>
          <w:rFonts w:ascii="Times New Roman" w:hAnsi="Times New Roman"/>
          <w:sz w:val="24"/>
        </w:rPr>
        <w:t>ληκτότητα</w:t>
      </w:r>
      <w:proofErr w:type="spellEnd"/>
      <w:r>
        <w:rPr>
          <w:rFonts w:ascii="Times New Roman" w:hAnsi="Times New Roman"/>
          <w:sz w:val="24"/>
        </w:rPr>
        <w:t xml:space="preserve">: Τα στοιχεία που δημοσιοποιούνται στο χρονικό κλιμάκιο «χωρίς </w:t>
      </w:r>
      <w:proofErr w:type="spellStart"/>
      <w:r>
        <w:rPr>
          <w:rFonts w:ascii="Times New Roman" w:hAnsi="Times New Roman"/>
          <w:sz w:val="24"/>
        </w:rPr>
        <w:t>ληκτότητα</w:t>
      </w:r>
      <w:proofErr w:type="spellEnd"/>
      <w:r>
        <w:rPr>
          <w:rFonts w:ascii="Times New Roman" w:hAnsi="Times New Roman"/>
          <w:sz w:val="24"/>
        </w:rPr>
        <w:t xml:space="preserve">» δεν έχουν δηλωμένη </w:t>
      </w:r>
      <w:proofErr w:type="spellStart"/>
      <w:r>
        <w:rPr>
          <w:rFonts w:ascii="Times New Roman" w:hAnsi="Times New Roman"/>
          <w:sz w:val="24"/>
        </w:rPr>
        <w:t>ληκτότητα</w:t>
      </w:r>
      <w:proofErr w:type="spellEnd"/>
      <w:r>
        <w:rPr>
          <w:rFonts w:ascii="Times New Roman" w:hAnsi="Times New Roman"/>
          <w:sz w:val="24"/>
        </w:rPr>
        <w:t xml:space="preserve"> ή είναι διαρκή.</w:t>
      </w:r>
    </w:p>
    <w:p w14:paraId="58B79BC3" w14:textId="77777777" w:rsidR="007E1815" w:rsidRPr="007F4CC8" w:rsidRDefault="007E1815" w:rsidP="007E1815">
      <w:pPr>
        <w:pStyle w:val="ListNumber"/>
        <w:numPr>
          <w:ilvl w:val="0"/>
          <w:numId w:val="0"/>
        </w:numPr>
        <w:ind w:left="1071"/>
        <w:jc w:val="both"/>
        <w:rPr>
          <w:rFonts w:ascii="Times New Roman" w:hAnsi="Times New Roman"/>
          <w:sz w:val="24"/>
        </w:rPr>
      </w:pPr>
    </w:p>
    <w:p w14:paraId="16DF72D7"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 xml:space="preserve">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κάτω των έξι μηνών·</w:t>
      </w:r>
    </w:p>
    <w:p w14:paraId="15456445" w14:textId="77777777" w:rsidR="007E1815" w:rsidRPr="007F4CC8" w:rsidRDefault="007E1815" w:rsidP="007E1815">
      <w:pPr>
        <w:pStyle w:val="ListNumber"/>
        <w:numPr>
          <w:ilvl w:val="0"/>
          <w:numId w:val="0"/>
        </w:numPr>
        <w:ind w:left="1071"/>
        <w:jc w:val="both"/>
        <w:rPr>
          <w:rFonts w:ascii="Times New Roman" w:hAnsi="Times New Roman"/>
          <w:sz w:val="24"/>
        </w:rPr>
      </w:pPr>
    </w:p>
    <w:p w14:paraId="22246D74"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 xml:space="preserve">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τουλάχιστον έξι μηνών αλλά μικρότερη του ενός έτους· και</w:t>
      </w:r>
    </w:p>
    <w:p w14:paraId="6A87D26E" w14:textId="77777777" w:rsidR="007E1815" w:rsidRPr="007F4CC8" w:rsidRDefault="007E1815" w:rsidP="007E1815">
      <w:pPr>
        <w:pStyle w:val="ListNumber"/>
        <w:numPr>
          <w:ilvl w:val="0"/>
          <w:numId w:val="0"/>
        </w:numPr>
        <w:ind w:left="1071"/>
        <w:jc w:val="both"/>
        <w:rPr>
          <w:rFonts w:ascii="Times New Roman" w:hAnsi="Times New Roman"/>
          <w:sz w:val="24"/>
        </w:rPr>
      </w:pPr>
    </w:p>
    <w:p w14:paraId="77A0B74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ab/>
        <w:t xml:space="preserve">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ενός έτους τουλάχιστον.</w:t>
      </w:r>
    </w:p>
    <w:p w14:paraId="6BA304AA" w14:textId="77777777" w:rsidR="007E1815" w:rsidRPr="007F4CC8" w:rsidRDefault="007E1815" w:rsidP="007E1815">
      <w:pPr>
        <w:pStyle w:val="ListNumber"/>
        <w:numPr>
          <w:ilvl w:val="0"/>
          <w:numId w:val="0"/>
        </w:numPr>
        <w:rPr>
          <w:rFonts w:ascii="Times New Roman" w:hAnsi="Times New Roman"/>
          <w:sz w:val="24"/>
        </w:rPr>
      </w:pPr>
    </w:p>
    <w:p w14:paraId="67F6D5AE" w14:textId="77777777" w:rsidR="007E1815" w:rsidRPr="007F4CC8" w:rsidRDefault="007E1815" w:rsidP="007E1815">
      <w:pPr>
        <w:pStyle w:val="ListNumber"/>
        <w:numPr>
          <w:ilvl w:val="0"/>
          <w:numId w:val="0"/>
        </w:numPr>
        <w:ind w:left="357" w:hanging="357"/>
        <w:jc w:val="both"/>
        <w:rPr>
          <w:rFonts w:ascii="Times New Roman" w:hAnsi="Times New Roman"/>
          <w:b/>
          <w:sz w:val="24"/>
        </w:rPr>
      </w:pPr>
      <w:r>
        <w:rPr>
          <w:rFonts w:ascii="Times New Roman" w:hAnsi="Times New Roman"/>
          <w:b/>
          <w:sz w:val="24"/>
        </w:rPr>
        <w:t>Στοιχεία απαιτούμενης σταθερής χρηματοδότησης (RSF)</w:t>
      </w:r>
    </w:p>
    <w:p w14:paraId="03707205"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Τα ιδρύματα δημοσιοποιούν στην κατάλληλη κατηγορία όλα τα στοιχεία ενεργητικού επί των οποίων διατηρούν την πραγματική κυριότητα, ακόμη και εάν δεν αντιμετωπίζονται λογιστικά στον ισολογισμό τους. Τα στοιχεία ενεργητικού επί των οποίων τα ιδρύματα δεν διατηρούν την πραγματική κυριότητα δεν δημοσιοποιούνται, ακόμη και εάν αντιμετωπίζονται λογιστικά στον ισολογισμό τους.</w:t>
      </w:r>
    </w:p>
    <w:p w14:paraId="0BD2DC52"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Σύμφωνα με το άρθρο 428ιστ του ΚΚΑ, εκτός αν ορίζεται άλλως στο έκτο μέρος τίτλος IV κεφάλαιο 4 του ΚΚΑ, το ποσό της απαιτούμενης σταθερής χρηματοδότησης (RSF) υπολογίζεται με πολλαπλασιασμό της μη σταθμισμένης αξίας των στοιχείων ενεργητικού και των στοιχείων εκτός ισολογισμού επί τους συντελεστές απαιτούμενης σταθερής χρηματοδότησης.</w:t>
      </w:r>
    </w:p>
    <w:p w14:paraId="335AF99A"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Στοιχεία ενεργητικού που είναι επιλέξιμα ως υψηλής ποιότητας ρευστά στοιχεία ενεργητικού (HQLA) σύμφωνα με τον κατ’ εξουσιοδότηση κανονισμό (ΕΕ) 2015/61 της Επιτροπής δημοσιοποιούνται αναλόγως, σε καθορισμένη σειρά ανεξάρτητα από την εναπομένουσα </w:t>
      </w:r>
      <w:proofErr w:type="spellStart"/>
      <w:r>
        <w:rPr>
          <w:rFonts w:ascii="Times New Roman" w:hAnsi="Times New Roman"/>
          <w:sz w:val="24"/>
        </w:rPr>
        <w:t>ληκτότητά</w:t>
      </w:r>
      <w:proofErr w:type="spellEnd"/>
      <w:r>
        <w:rPr>
          <w:rFonts w:ascii="Times New Roman" w:hAnsi="Times New Roman"/>
          <w:sz w:val="24"/>
        </w:rPr>
        <w:t xml:space="preserve"> τους.</w:t>
      </w:r>
    </w:p>
    <w:p w14:paraId="44264B2F" w14:textId="77777777" w:rsidR="007E1815" w:rsidRPr="007F4CC8" w:rsidRDefault="007E1815" w:rsidP="007E1815">
      <w:pPr>
        <w:widowControl w:val="0"/>
        <w:numPr>
          <w:ilvl w:val="0"/>
          <w:numId w:val="2"/>
        </w:numPr>
        <w:tabs>
          <w:tab w:val="left" w:pos="983"/>
        </w:tabs>
        <w:spacing w:before="120" w:after="120"/>
        <w:ind w:left="720"/>
        <w:jc w:val="both"/>
        <w:rPr>
          <w:rFonts w:ascii="Times New Roman" w:hAnsi="Times New Roman" w:cs="Times New Roman"/>
          <w:sz w:val="24"/>
        </w:rPr>
      </w:pPr>
      <w:r>
        <w:rPr>
          <w:rFonts w:ascii="Times New Roman" w:hAnsi="Times New Roman"/>
          <w:sz w:val="24"/>
        </w:rPr>
        <w:t xml:space="preserve">Όλα τα μη HQLA και τα στοιχεία εκτός ισολογισμού δημοσιοποιούνται με κατανομή βάσει της εναπομένουσας </w:t>
      </w:r>
      <w:proofErr w:type="spellStart"/>
      <w:r>
        <w:rPr>
          <w:rFonts w:ascii="Times New Roman" w:hAnsi="Times New Roman"/>
          <w:sz w:val="24"/>
        </w:rPr>
        <w:t>ληκτότητάς</w:t>
      </w:r>
      <w:proofErr w:type="spellEnd"/>
      <w:r>
        <w:rPr>
          <w:rFonts w:ascii="Times New Roman" w:hAnsi="Times New Roman"/>
          <w:sz w:val="24"/>
        </w:rPr>
        <w:t xml:space="preserve"> τους σύμφωνα με το άρθρο 428ιζ του ΚΚΑ. Οι περίοδοι </w:t>
      </w:r>
      <w:proofErr w:type="spellStart"/>
      <w:r>
        <w:rPr>
          <w:rFonts w:ascii="Times New Roman" w:hAnsi="Times New Roman"/>
          <w:sz w:val="24"/>
        </w:rPr>
        <w:t>ληκτότητας</w:t>
      </w:r>
      <w:proofErr w:type="spellEnd"/>
      <w:r>
        <w:rPr>
          <w:rFonts w:ascii="Times New Roman" w:hAnsi="Times New Roman"/>
          <w:sz w:val="24"/>
        </w:rPr>
        <w:t xml:space="preserve"> των ποσών, οι πάγιοι συντελεστές και οι εφαρμοστέοι συντελεστές έχουν ως εξής:</w:t>
      </w:r>
    </w:p>
    <w:p w14:paraId="0C1F136F" w14:textId="77777777" w:rsidR="007E1815" w:rsidRPr="007F4CC8" w:rsidRDefault="007E1815" w:rsidP="007E1815">
      <w:pPr>
        <w:pStyle w:val="ListNumber"/>
        <w:numPr>
          <w:ilvl w:val="0"/>
          <w:numId w:val="0"/>
        </w:numPr>
        <w:ind w:left="1071"/>
        <w:jc w:val="both"/>
        <w:rPr>
          <w:rFonts w:ascii="Times New Roman" w:hAnsi="Times New Roman"/>
          <w:sz w:val="24"/>
        </w:rPr>
      </w:pPr>
    </w:p>
    <w:p w14:paraId="1F393622" w14:textId="77777777" w:rsidR="007E1815" w:rsidRPr="007F4CC8" w:rsidRDefault="007E1815" w:rsidP="007E1815">
      <w:pPr>
        <w:pStyle w:val="ListNumber"/>
        <w:numPr>
          <w:ilvl w:val="1"/>
          <w:numId w:val="13"/>
        </w:numPr>
        <w:spacing w:after="150"/>
        <w:jc w:val="both"/>
        <w:rPr>
          <w:rFonts w:ascii="Times New Roman" w:hAnsi="Times New Roman"/>
          <w:sz w:val="24"/>
        </w:rPr>
      </w:pPr>
      <w:r>
        <w:rPr>
          <w:rFonts w:ascii="Times New Roman" w:hAnsi="Times New Roman"/>
          <w:sz w:val="24"/>
        </w:rPr>
        <w:t xml:space="preserve">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μικρότερη των έξι μηνών ή χωρίς προσδιορισθείσα </w:t>
      </w:r>
      <w:proofErr w:type="spellStart"/>
      <w:r>
        <w:rPr>
          <w:rFonts w:ascii="Times New Roman" w:hAnsi="Times New Roman"/>
          <w:sz w:val="24"/>
        </w:rPr>
        <w:t>ληκτότητα</w:t>
      </w:r>
      <w:proofErr w:type="spellEnd"/>
      <w:r>
        <w:rPr>
          <w:rFonts w:ascii="Times New Roman" w:hAnsi="Times New Roman"/>
          <w:sz w:val="24"/>
        </w:rPr>
        <w:t>·</w:t>
      </w:r>
    </w:p>
    <w:p w14:paraId="70DE81A7" w14:textId="77777777" w:rsidR="007E1815" w:rsidRPr="007F4CC8" w:rsidRDefault="007E1815" w:rsidP="007E1815">
      <w:pPr>
        <w:pStyle w:val="ListNumber"/>
        <w:numPr>
          <w:ilvl w:val="0"/>
          <w:numId w:val="0"/>
        </w:numPr>
        <w:ind w:left="1071"/>
        <w:jc w:val="both"/>
        <w:rPr>
          <w:rFonts w:ascii="Times New Roman" w:hAnsi="Times New Roman"/>
          <w:sz w:val="24"/>
        </w:rPr>
      </w:pPr>
    </w:p>
    <w:p w14:paraId="2320D290"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t xml:space="preserve">εναπομένουσα </w:t>
      </w:r>
      <w:proofErr w:type="spellStart"/>
      <w:r>
        <w:rPr>
          <w:rFonts w:ascii="Times New Roman" w:hAnsi="Times New Roman"/>
          <w:sz w:val="24"/>
        </w:rPr>
        <w:t>ληκτότητα</w:t>
      </w:r>
      <w:proofErr w:type="spellEnd"/>
      <w:r>
        <w:rPr>
          <w:rFonts w:ascii="Times New Roman" w:hAnsi="Times New Roman"/>
          <w:sz w:val="24"/>
        </w:rPr>
        <w:t xml:space="preserve"> τουλάχιστον έξι μηνών αλλά μικρότερη του ενός έτους· και</w:t>
      </w:r>
    </w:p>
    <w:p w14:paraId="3D3AB18F" w14:textId="77777777" w:rsidR="007E1815" w:rsidRPr="007F4CC8" w:rsidRDefault="007E1815" w:rsidP="007E1815">
      <w:pPr>
        <w:pStyle w:val="ListNumber"/>
        <w:numPr>
          <w:ilvl w:val="0"/>
          <w:numId w:val="0"/>
        </w:numPr>
        <w:ind w:left="1071"/>
        <w:jc w:val="both"/>
        <w:rPr>
          <w:rFonts w:ascii="Times New Roman" w:hAnsi="Times New Roman"/>
          <w:sz w:val="24"/>
        </w:rPr>
      </w:pPr>
    </w:p>
    <w:p w14:paraId="0FBA8D39" w14:textId="77777777" w:rsidR="007E1815" w:rsidRPr="007F4CC8" w:rsidRDefault="007E1815" w:rsidP="007E1815">
      <w:pPr>
        <w:pStyle w:val="ListNumber"/>
        <w:numPr>
          <w:ilvl w:val="1"/>
          <w:numId w:val="6"/>
        </w:numPr>
        <w:spacing w:after="150"/>
        <w:jc w:val="both"/>
        <w:rPr>
          <w:rFonts w:ascii="Times New Roman" w:hAnsi="Times New Roman"/>
          <w:sz w:val="24"/>
        </w:rPr>
      </w:pPr>
      <w:r>
        <w:rPr>
          <w:rFonts w:ascii="Times New Roman" w:hAnsi="Times New Roman"/>
          <w:sz w:val="24"/>
        </w:rPr>
        <w:lastRenderedPageBreak/>
        <w:t xml:space="preserve">εναπομένουσα </w:t>
      </w:r>
      <w:proofErr w:type="spellStart"/>
      <w:r>
        <w:rPr>
          <w:rFonts w:ascii="Times New Roman" w:hAnsi="Times New Roman"/>
          <w:sz w:val="24"/>
        </w:rPr>
        <w:t>ληκτότητα</w:t>
      </w:r>
      <w:proofErr w:type="spellEnd"/>
      <w:r>
        <w:rPr>
          <w:rFonts w:ascii="Times New Roman" w:hAnsi="Times New Roman"/>
          <w:sz w:val="24"/>
        </w:rPr>
        <w:t xml:space="preserve"> ενός έτους τουλάχιστον.</w:t>
      </w:r>
    </w:p>
    <w:p w14:paraId="02C8881F" w14:textId="77777777" w:rsidR="007E1815" w:rsidRPr="007F4CC8" w:rsidRDefault="007E1815" w:rsidP="007E1815">
      <w:pPr>
        <w:rPr>
          <w:rFonts w:ascii="Times New Roman" w:hAnsi="Times New Roman"/>
          <w:sz w:val="24"/>
        </w:rPr>
      </w:pPr>
    </w:p>
    <w:tbl>
      <w:tblPr>
        <w:tblStyle w:val="TableGrid"/>
        <w:tblW w:w="0" w:type="auto"/>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52"/>
        <w:gridCol w:w="7664"/>
      </w:tblGrid>
      <w:tr w:rsidR="007E1815" w:rsidRPr="007F4CC8" w14:paraId="36724F12" w14:textId="77777777" w:rsidTr="00D819DE">
        <w:trPr>
          <w:cnfStyle w:val="100000000000" w:firstRow="1" w:lastRow="0" w:firstColumn="0" w:lastColumn="0" w:oddVBand="0" w:evenVBand="0" w:oddHBand="0" w:evenHBand="0" w:firstRowFirstColumn="0" w:firstRowLastColumn="0" w:lastRowFirstColumn="0" w:lastRowLastColumn="0"/>
          <w:trHeight w:val="567"/>
        </w:trPr>
        <w:tc>
          <w:tcPr>
            <w:tcW w:w="9060" w:type="dxa"/>
            <w:gridSpan w:val="2"/>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9D9D9" w:themeFill="background1" w:themeFillShade="D9"/>
          </w:tcPr>
          <w:p w14:paraId="621ABA84" w14:textId="77777777" w:rsidR="007E1815" w:rsidRPr="00AE4F96" w:rsidRDefault="007E1815" w:rsidP="00D819DE">
            <w:pPr>
              <w:rPr>
                <w:rFonts w:ascii="Times New Roman" w:hAnsi="Times New Roman"/>
                <w:sz w:val="24"/>
                <w:lang w:val="el-GR"/>
              </w:rPr>
            </w:pPr>
            <w:r w:rsidRPr="00AE4F96">
              <w:rPr>
                <w:rFonts w:ascii="Times New Roman" w:hAnsi="Times New Roman"/>
                <w:b/>
                <w:sz w:val="24"/>
                <w:lang w:val="el-GR"/>
              </w:rPr>
              <w:t>Νομικά κείμενα αναφοράς και οδηγίες</w:t>
            </w:r>
          </w:p>
        </w:tc>
      </w:tr>
      <w:tr w:rsidR="007E1815" w:rsidRPr="007F4CC8" w14:paraId="4222DCCE" w14:textId="77777777" w:rsidTr="00D819DE">
        <w:trPr>
          <w:trHeight w:val="567"/>
        </w:trPr>
        <w:tc>
          <w:tcPr>
            <w:tcW w:w="1355" w:type="dxa"/>
            <w:shd w:val="clear" w:color="auto" w:fill="D9D9D9" w:themeFill="background1" w:themeFillShade="D9"/>
          </w:tcPr>
          <w:p w14:paraId="5A502C58" w14:textId="77777777" w:rsidR="007E1815" w:rsidRPr="00CB5E7D" w:rsidRDefault="007E1815" w:rsidP="00D819DE">
            <w:pPr>
              <w:rPr>
                <w:rFonts w:ascii="Times New Roman" w:hAnsi="Times New Roman"/>
                <w:b/>
                <w:sz w:val="24"/>
              </w:rPr>
            </w:pPr>
            <w:proofErr w:type="spellStart"/>
            <w:r>
              <w:rPr>
                <w:rFonts w:ascii="Times New Roman" w:hAnsi="Times New Roman"/>
                <w:b/>
                <w:sz w:val="24"/>
              </w:rPr>
              <w:t>Γρ</w:t>
            </w:r>
            <w:proofErr w:type="spellEnd"/>
            <w:r>
              <w:rPr>
                <w:rFonts w:ascii="Times New Roman" w:hAnsi="Times New Roman"/>
                <w:b/>
                <w:sz w:val="24"/>
              </w:rPr>
              <w:t>αμμή</w:t>
            </w:r>
          </w:p>
        </w:tc>
        <w:tc>
          <w:tcPr>
            <w:tcW w:w="7705" w:type="dxa"/>
            <w:shd w:val="clear" w:color="auto" w:fill="D0CECE"/>
          </w:tcPr>
          <w:p w14:paraId="50C21EC2" w14:textId="77777777" w:rsidR="007E1815" w:rsidRPr="007F4CC8" w:rsidRDefault="007E1815" w:rsidP="00D819DE">
            <w:pPr>
              <w:rPr>
                <w:rFonts w:ascii="Times New Roman" w:hAnsi="Times New Roman"/>
                <w:sz w:val="24"/>
              </w:rPr>
            </w:pPr>
            <w:r>
              <w:rPr>
                <w:rFonts w:ascii="Times New Roman" w:hAnsi="Times New Roman"/>
                <w:b/>
                <w:sz w:val="24"/>
              </w:rPr>
              <w:t>Επ</w:t>
            </w:r>
            <w:proofErr w:type="spellStart"/>
            <w:r>
              <w:rPr>
                <w:rFonts w:ascii="Times New Roman" w:hAnsi="Times New Roman"/>
                <w:b/>
                <w:sz w:val="24"/>
              </w:rPr>
              <w:t>εξήγηση</w:t>
            </w:r>
            <w:proofErr w:type="spellEnd"/>
          </w:p>
        </w:tc>
      </w:tr>
      <w:tr w:rsidR="007E1815" w:rsidRPr="007F4CC8" w14:paraId="47A97B92" w14:textId="77777777" w:rsidTr="00D819DE">
        <w:trPr>
          <w:trHeight w:val="567"/>
        </w:trPr>
        <w:tc>
          <w:tcPr>
            <w:tcW w:w="1355" w:type="dxa"/>
            <w:shd w:val="clear" w:color="auto" w:fill="D0CECE"/>
          </w:tcPr>
          <w:p w14:paraId="4E7DACFE" w14:textId="77777777" w:rsidR="007E1815" w:rsidRPr="007F4CC8" w:rsidRDefault="007E1815" w:rsidP="00D819DE">
            <w:pPr>
              <w:rPr>
                <w:rFonts w:ascii="Times New Roman" w:hAnsi="Times New Roman"/>
                <w:sz w:val="24"/>
              </w:rPr>
            </w:pPr>
          </w:p>
        </w:tc>
        <w:tc>
          <w:tcPr>
            <w:tcW w:w="7705" w:type="dxa"/>
            <w:shd w:val="clear" w:color="auto" w:fill="D0CECE"/>
          </w:tcPr>
          <w:p w14:paraId="4662642A" w14:textId="77777777" w:rsidR="007E1815" w:rsidRPr="00AE4F96" w:rsidRDefault="007E1815" w:rsidP="00D819DE">
            <w:pPr>
              <w:rPr>
                <w:rFonts w:ascii="Times New Roman" w:hAnsi="Times New Roman"/>
                <w:b/>
                <w:sz w:val="24"/>
                <w:lang w:val="el-GR"/>
              </w:rPr>
            </w:pPr>
            <w:r w:rsidRPr="00AE4F96">
              <w:rPr>
                <w:rFonts w:ascii="Times New Roman" w:hAnsi="Times New Roman"/>
                <w:b/>
                <w:sz w:val="24"/>
                <w:lang w:val="el-GR"/>
              </w:rPr>
              <w:t>Στοιχεία διαθέσιμης σταθερής χρηματοδότησης (</w:t>
            </w:r>
            <w:r>
              <w:rPr>
                <w:rFonts w:ascii="Times New Roman" w:hAnsi="Times New Roman"/>
                <w:b/>
                <w:sz w:val="24"/>
              </w:rPr>
              <w:t>ASF</w:t>
            </w:r>
            <w:r w:rsidRPr="00AE4F96">
              <w:rPr>
                <w:rFonts w:ascii="Times New Roman" w:hAnsi="Times New Roman"/>
                <w:b/>
                <w:sz w:val="24"/>
                <w:lang w:val="el-GR"/>
              </w:rPr>
              <w:t>)</w:t>
            </w:r>
          </w:p>
        </w:tc>
      </w:tr>
      <w:tr w:rsidR="007E1815" w:rsidRPr="007F4CC8" w14:paraId="33C4FE49" w14:textId="77777777" w:rsidTr="00D819DE">
        <w:tc>
          <w:tcPr>
            <w:tcW w:w="1355" w:type="dxa"/>
          </w:tcPr>
          <w:p w14:paraId="4BF6617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w:t>
            </w:r>
          </w:p>
        </w:tc>
        <w:tc>
          <w:tcPr>
            <w:tcW w:w="7705" w:type="dxa"/>
          </w:tcPr>
          <w:p w14:paraId="4606BCE5"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Κεφαλαιακά στοιχεία και μέσα</w:t>
            </w:r>
          </w:p>
          <w:p w14:paraId="0B8977C9"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το άθροισμα των ποσών στη γραμμή</w:t>
            </w:r>
            <w:r>
              <w:rPr>
                <w:rFonts w:ascii="Times New Roman" w:hAnsi="Times New Roman"/>
                <w:sz w:val="24"/>
              </w:rPr>
              <w:t> </w:t>
            </w:r>
            <w:r w:rsidRPr="00AE4F96">
              <w:rPr>
                <w:rFonts w:ascii="Times New Roman" w:hAnsi="Times New Roman"/>
                <w:sz w:val="24"/>
                <w:lang w:val="el-GR"/>
              </w:rPr>
              <w:t>2 και στη γραμμή</w:t>
            </w:r>
            <w:r>
              <w:rPr>
                <w:rFonts w:ascii="Times New Roman" w:hAnsi="Times New Roman"/>
                <w:sz w:val="24"/>
              </w:rPr>
              <w:t> </w:t>
            </w:r>
            <w:r w:rsidRPr="00AE4F96">
              <w:rPr>
                <w:rFonts w:ascii="Times New Roman" w:hAnsi="Times New Roman"/>
                <w:sz w:val="24"/>
                <w:lang w:val="el-GR"/>
              </w:rPr>
              <w:t>3 του παρόντος υποδείγματος.</w:t>
            </w:r>
          </w:p>
        </w:tc>
      </w:tr>
      <w:tr w:rsidR="007E1815" w:rsidRPr="007F4CC8" w14:paraId="1969A8FD" w14:textId="77777777" w:rsidTr="00D819DE">
        <w:tc>
          <w:tcPr>
            <w:tcW w:w="1355" w:type="dxa"/>
          </w:tcPr>
          <w:p w14:paraId="275C0D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w:t>
            </w:r>
          </w:p>
        </w:tc>
        <w:tc>
          <w:tcPr>
            <w:tcW w:w="7705" w:type="dxa"/>
          </w:tcPr>
          <w:p w14:paraId="116DF0CA"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Ίδια κεφάλαια</w:t>
            </w:r>
          </w:p>
          <w:p w14:paraId="41BB1DEB"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428ιε στοιχεία</w:t>
            </w:r>
            <w:r>
              <w:rPr>
                <w:rFonts w:ascii="Times New Roman" w:hAnsi="Times New Roman"/>
                <w:sz w:val="24"/>
              </w:rPr>
              <w:t> </w:t>
            </w:r>
            <w:r w:rsidRPr="00AE4F96">
              <w:rPr>
                <w:rFonts w:ascii="Times New Roman" w:hAnsi="Times New Roman"/>
                <w:sz w:val="24"/>
                <w:lang w:val="el-GR"/>
              </w:rPr>
              <w:t>α), β) και γ) του ΚΚΑ</w:t>
            </w:r>
          </w:p>
          <w:p w14:paraId="4277A47A"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περιλαμβάνουν εδώ το άθροισμα των ακόλουθων στοιχείων:</w:t>
            </w:r>
          </w:p>
          <w:p w14:paraId="02EDA993" w14:textId="77777777" w:rsidR="007E1815" w:rsidRPr="00AE4F96" w:rsidRDefault="007E1815" w:rsidP="007E1815">
            <w:pPr>
              <w:pStyle w:val="ListParagraph"/>
              <w:numPr>
                <w:ilvl w:val="0"/>
                <w:numId w:val="10"/>
              </w:numPr>
              <w:spacing w:after="240"/>
              <w:contextualSpacing/>
              <w:jc w:val="both"/>
              <w:rPr>
                <w:rFonts w:ascii="Times New Roman" w:hAnsi="Times New Roman"/>
                <w:sz w:val="24"/>
                <w:lang w:val="el-GR"/>
              </w:rPr>
            </w:pPr>
            <w:r w:rsidRPr="00AE4F96">
              <w:rPr>
                <w:rFonts w:ascii="Times New Roman" w:hAnsi="Times New Roman"/>
                <w:sz w:val="24"/>
                <w:lang w:val="el-GR"/>
              </w:rPr>
              <w:t>τα στοιχεία κεφαλαίου κοινών μετοχών της κατηγορίας</w:t>
            </w:r>
            <w:r>
              <w:rPr>
                <w:rFonts w:ascii="Times New Roman" w:hAnsi="Times New Roman"/>
                <w:sz w:val="24"/>
              </w:rPr>
              <w:t> </w:t>
            </w:r>
            <w:r w:rsidRPr="00AE4F96">
              <w:rPr>
                <w:rFonts w:ascii="Times New Roman" w:hAnsi="Times New Roman"/>
                <w:sz w:val="24"/>
                <w:lang w:val="el-GR"/>
              </w:rPr>
              <w:t>1 (</w:t>
            </w:r>
            <w:r>
              <w:rPr>
                <w:rFonts w:ascii="Times New Roman" w:hAnsi="Times New Roman"/>
                <w:sz w:val="24"/>
              </w:rPr>
              <w:t>CET</w:t>
            </w:r>
            <w:r w:rsidRPr="00AE4F96">
              <w:rPr>
                <w:rFonts w:ascii="Times New Roman" w:hAnsi="Times New Roman"/>
                <w:sz w:val="24"/>
                <w:lang w:val="el-GR"/>
              </w:rPr>
              <w:t>1) πριν από την εφαρμογή των εποπτικών προσαρμογών, των αφαιρέσεων και των εξαιρέσεων ή εναλλακτικών δυνατοτήτων που ορίζονται στα άρθρα</w:t>
            </w:r>
            <w:r>
              <w:rPr>
                <w:rFonts w:ascii="Times New Roman" w:hAnsi="Times New Roman"/>
                <w:sz w:val="24"/>
              </w:rPr>
              <w:t> </w:t>
            </w:r>
            <w:r w:rsidRPr="00AE4F96">
              <w:rPr>
                <w:rFonts w:ascii="Times New Roman" w:hAnsi="Times New Roman"/>
                <w:sz w:val="24"/>
                <w:lang w:val="el-GR"/>
              </w:rPr>
              <w:t>32 έως 36, 48, 49 και 79 του ΚΚΑ</w:t>
            </w:r>
          </w:p>
          <w:p w14:paraId="728F2A4A" w14:textId="77777777" w:rsidR="007E1815" w:rsidRPr="00AE4F96" w:rsidRDefault="007E1815" w:rsidP="007E1815">
            <w:pPr>
              <w:pStyle w:val="ListParagraph"/>
              <w:numPr>
                <w:ilvl w:val="0"/>
                <w:numId w:val="10"/>
              </w:numPr>
              <w:spacing w:after="240"/>
              <w:contextualSpacing/>
              <w:jc w:val="both"/>
              <w:rPr>
                <w:rFonts w:ascii="Times New Roman" w:hAnsi="Times New Roman"/>
                <w:sz w:val="24"/>
                <w:lang w:val="el-GR"/>
              </w:rPr>
            </w:pPr>
            <w:r w:rsidRPr="00AE4F96">
              <w:rPr>
                <w:rFonts w:ascii="Times New Roman" w:hAnsi="Times New Roman"/>
                <w:sz w:val="24"/>
                <w:lang w:val="el-GR"/>
              </w:rPr>
              <w:t>τα πρόσθετα στοιχεία της κατηγορίας</w:t>
            </w:r>
            <w:r>
              <w:rPr>
                <w:rFonts w:ascii="Times New Roman" w:hAnsi="Times New Roman"/>
                <w:sz w:val="24"/>
              </w:rPr>
              <w:t> </w:t>
            </w:r>
            <w:r w:rsidRPr="00AE4F96">
              <w:rPr>
                <w:rFonts w:ascii="Times New Roman" w:hAnsi="Times New Roman"/>
                <w:sz w:val="24"/>
                <w:lang w:val="el-GR"/>
              </w:rPr>
              <w:t>1 (</w:t>
            </w:r>
            <w:r>
              <w:rPr>
                <w:rFonts w:ascii="Times New Roman" w:hAnsi="Times New Roman"/>
                <w:sz w:val="24"/>
              </w:rPr>
              <w:t>AT</w:t>
            </w:r>
            <w:r w:rsidRPr="00AE4F96">
              <w:rPr>
                <w:rFonts w:ascii="Times New Roman" w:hAnsi="Times New Roman"/>
                <w:sz w:val="24"/>
                <w:lang w:val="el-GR"/>
              </w:rPr>
              <w:t>1) πριν από την εφαρμογή των αφαιρέσεων και των εξαιρέσεων που ορίζονται στα άρθρα</w:t>
            </w:r>
            <w:r>
              <w:rPr>
                <w:rFonts w:ascii="Times New Roman" w:hAnsi="Times New Roman"/>
                <w:sz w:val="24"/>
              </w:rPr>
              <w:t> </w:t>
            </w:r>
            <w:r w:rsidRPr="00AE4F96">
              <w:rPr>
                <w:rFonts w:ascii="Times New Roman" w:hAnsi="Times New Roman"/>
                <w:sz w:val="24"/>
                <w:lang w:val="el-GR"/>
              </w:rPr>
              <w:t>56 και 79 του ΚΚΑ και</w:t>
            </w:r>
          </w:p>
          <w:p w14:paraId="79565A6F" w14:textId="77777777" w:rsidR="007E1815" w:rsidRPr="00AE4F96" w:rsidRDefault="007E1815" w:rsidP="007E1815">
            <w:pPr>
              <w:pStyle w:val="ListParagraph"/>
              <w:numPr>
                <w:ilvl w:val="0"/>
                <w:numId w:val="10"/>
              </w:numPr>
              <w:spacing w:after="240"/>
              <w:contextualSpacing/>
              <w:jc w:val="both"/>
              <w:rPr>
                <w:rFonts w:ascii="Times New Roman" w:hAnsi="Times New Roman"/>
                <w:sz w:val="24"/>
                <w:lang w:val="el-GR"/>
              </w:rPr>
            </w:pPr>
            <w:r w:rsidRPr="00AE4F96">
              <w:rPr>
                <w:rFonts w:ascii="Times New Roman" w:hAnsi="Times New Roman"/>
                <w:sz w:val="24"/>
                <w:lang w:val="el-GR"/>
              </w:rPr>
              <w:t>τα στοιχεία της κατηγορίας</w:t>
            </w:r>
            <w:r>
              <w:rPr>
                <w:rFonts w:ascii="Times New Roman" w:hAnsi="Times New Roman"/>
                <w:sz w:val="24"/>
              </w:rPr>
              <w:t> </w:t>
            </w:r>
            <w:r w:rsidRPr="00AE4F96">
              <w:rPr>
                <w:rFonts w:ascii="Times New Roman" w:hAnsi="Times New Roman"/>
                <w:sz w:val="24"/>
                <w:lang w:val="el-GR"/>
              </w:rPr>
              <w:t>2 (</w:t>
            </w:r>
            <w:r>
              <w:rPr>
                <w:rFonts w:ascii="Times New Roman" w:hAnsi="Times New Roman"/>
                <w:sz w:val="24"/>
              </w:rPr>
              <w:t>T</w:t>
            </w:r>
            <w:r w:rsidRPr="00AE4F96">
              <w:rPr>
                <w:rFonts w:ascii="Times New Roman" w:hAnsi="Times New Roman"/>
                <w:sz w:val="24"/>
                <w:lang w:val="el-GR"/>
              </w:rPr>
              <w:t>2) πριν από την εφαρμογή των αφαιρέσεων και των εξαιρέσεων που ορίζονται στα άρθρα</w:t>
            </w:r>
            <w:r>
              <w:rPr>
                <w:rFonts w:ascii="Times New Roman" w:hAnsi="Times New Roman"/>
                <w:sz w:val="24"/>
              </w:rPr>
              <w:t> </w:t>
            </w:r>
            <w:r w:rsidRPr="00AE4F96">
              <w:rPr>
                <w:rFonts w:ascii="Times New Roman" w:hAnsi="Times New Roman"/>
                <w:sz w:val="24"/>
                <w:lang w:val="el-GR"/>
              </w:rPr>
              <w:t xml:space="preserve">66 και 79 του ΚΚΑ και έχουν εναπομένουσα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xml:space="preserve"> ενός έτους τουλάχιστον κατά την ημερομηνία αναφοράς της δημοσιοποίησης.</w:t>
            </w:r>
          </w:p>
          <w:p w14:paraId="00D84758"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 xml:space="preserve">Τα στοιχεία </w:t>
            </w:r>
            <w:r>
              <w:rPr>
                <w:rFonts w:ascii="Times New Roman" w:hAnsi="Times New Roman"/>
                <w:sz w:val="24"/>
              </w:rPr>
              <w:t>CET</w:t>
            </w:r>
            <w:r w:rsidRPr="00AE4F96">
              <w:rPr>
                <w:rFonts w:ascii="Times New Roman" w:hAnsi="Times New Roman"/>
                <w:sz w:val="24"/>
                <w:lang w:val="el-GR"/>
              </w:rPr>
              <w:t xml:space="preserve">1 και </w:t>
            </w:r>
            <w:r>
              <w:rPr>
                <w:rFonts w:ascii="Times New Roman" w:hAnsi="Times New Roman"/>
                <w:sz w:val="24"/>
              </w:rPr>
              <w:t>AT</w:t>
            </w:r>
            <w:r w:rsidRPr="00AE4F96">
              <w:rPr>
                <w:rFonts w:ascii="Times New Roman" w:hAnsi="Times New Roman"/>
                <w:sz w:val="24"/>
                <w:lang w:val="el-GR"/>
              </w:rPr>
              <w:t xml:space="preserve">1 είναι διαρκή μέσα που δημοσιοποιούνται στο κλιμάκιο «χωρίς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xml:space="preserve">». Στην περίπτωση στοιχείων </w:t>
            </w:r>
            <w:r>
              <w:rPr>
                <w:rFonts w:ascii="Times New Roman" w:hAnsi="Times New Roman"/>
                <w:sz w:val="24"/>
              </w:rPr>
              <w:t>AT</w:t>
            </w:r>
            <w:r w:rsidRPr="00AE4F96">
              <w:rPr>
                <w:rFonts w:ascii="Times New Roman" w:hAnsi="Times New Roman"/>
                <w:sz w:val="24"/>
                <w:lang w:val="el-GR"/>
              </w:rPr>
              <w:t xml:space="preserve">1 εξαγοράσιμων από το ίδρυμα, και μόνον εάν η χρονική περίοδος έως την ημερομηνία των δικαιωμάτων εξαγοράς είναι μικρότερη του ενός έτους, δεν δημοσιοποιούνται στο κλιμάκιο «χωρίς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xml:space="preserve">» αλλά στο ισχύον χρονικό κλιμάκιο (δηλαδή εναπομένουσα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xml:space="preserve"> κάτω των έξι μηνών ή εναπομένουσα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xml:space="preserve"> τουλάχιστον έξι μηνών αλλά μικρότερη του ενός έτους). Αυτό συμβαίνει ανεξάρτητα από το εάν έχει ασκηθεί η επιλογή ή όχι.</w:t>
            </w:r>
          </w:p>
          <w:p w14:paraId="0435A78E"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 xml:space="preserve">Όσον αφορά τα στοιχεία Τ2, το κλιμάκιο </w:t>
            </w:r>
            <w:proofErr w:type="spellStart"/>
            <w:r w:rsidRPr="00AE4F96">
              <w:rPr>
                <w:rFonts w:ascii="Times New Roman" w:hAnsi="Times New Roman"/>
                <w:sz w:val="24"/>
                <w:lang w:val="el-GR"/>
              </w:rPr>
              <w:t>ληκτότητας</w:t>
            </w:r>
            <w:proofErr w:type="spellEnd"/>
            <w:r w:rsidRPr="00AE4F96">
              <w:rPr>
                <w:rFonts w:ascii="Times New Roman" w:hAnsi="Times New Roman"/>
                <w:sz w:val="24"/>
                <w:lang w:val="el-GR"/>
              </w:rPr>
              <w:t xml:space="preserve"> ενός έτους ή περισσότερο περιλαμβάνει τα μέσα με ισοδύναμη εναπομένουσα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xml:space="preserve"> και, στις εξαιρετικές περιπτώσεις μέσων Τ2 χωρίς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xml:space="preserve">, και τα μέσα αυτά. Στην περίπτωση στοιχείων </w:t>
            </w:r>
            <w:r>
              <w:rPr>
                <w:rFonts w:ascii="Times New Roman" w:hAnsi="Times New Roman"/>
                <w:sz w:val="24"/>
              </w:rPr>
              <w:t>T</w:t>
            </w:r>
            <w:r w:rsidRPr="00AE4F96">
              <w:rPr>
                <w:rFonts w:ascii="Times New Roman" w:hAnsi="Times New Roman"/>
                <w:sz w:val="24"/>
                <w:lang w:val="el-GR"/>
              </w:rPr>
              <w:t xml:space="preserve">2 εξαγοράσιμων από το ίδρυμα, και ανεξάρτητα από το εάν το ίδρυμα έχει ασκήσει το δικαίωμα εξαγοράς, η εναπομένουσα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xml:space="preserve"> του μέσου καθορίζεται από την ημερομηνία άσκησης του δικαιώματος εξαγοράς. Σε αυτήν την περίπτωση, το ίδρυμα δημοσιοποιεί αυτά τα στοιχεία στο αντίστοιχο χρονικό κλιμάκιο και δεν </w:t>
            </w:r>
            <w:r w:rsidRPr="00AE4F96">
              <w:rPr>
                <w:rFonts w:ascii="Times New Roman" w:hAnsi="Times New Roman"/>
                <w:sz w:val="24"/>
                <w:lang w:val="el-GR"/>
              </w:rPr>
              <w:lastRenderedPageBreak/>
              <w:t xml:space="preserve">εφαρμόζει συντελεστή </w:t>
            </w:r>
            <w:r>
              <w:rPr>
                <w:rFonts w:ascii="Times New Roman" w:hAnsi="Times New Roman"/>
                <w:sz w:val="24"/>
              </w:rPr>
              <w:t>ASF</w:t>
            </w:r>
            <w:r w:rsidRPr="00AE4F96">
              <w:rPr>
                <w:rFonts w:ascii="Times New Roman" w:hAnsi="Times New Roman"/>
                <w:sz w:val="24"/>
                <w:lang w:val="el-GR"/>
              </w:rPr>
              <w:t xml:space="preserve"> 100</w:t>
            </w:r>
            <w:r>
              <w:rPr>
                <w:rFonts w:ascii="Times New Roman" w:hAnsi="Times New Roman"/>
                <w:sz w:val="24"/>
              </w:rPr>
              <w:t> </w:t>
            </w:r>
            <w:r w:rsidRPr="00AE4F96">
              <w:rPr>
                <w:rFonts w:ascii="Times New Roman" w:hAnsi="Times New Roman"/>
                <w:sz w:val="24"/>
                <w:lang w:val="el-GR"/>
              </w:rPr>
              <w:t>% εάν το δικαίωμα μπορεί να ασκηθεί εντός ενός έτους.</w:t>
            </w:r>
          </w:p>
        </w:tc>
      </w:tr>
      <w:tr w:rsidR="007E1815" w:rsidRPr="007F4CC8" w14:paraId="2550E7B9" w14:textId="77777777" w:rsidTr="00D819DE">
        <w:tc>
          <w:tcPr>
            <w:tcW w:w="1355" w:type="dxa"/>
          </w:tcPr>
          <w:p w14:paraId="0584AB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w:t>
            </w:r>
          </w:p>
        </w:tc>
        <w:tc>
          <w:tcPr>
            <w:tcW w:w="7705" w:type="dxa"/>
          </w:tcPr>
          <w:p w14:paraId="4DC4EF55"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Άλλα κεφαλαιακά μέσα</w:t>
            </w:r>
          </w:p>
          <w:p w14:paraId="171E776A"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428ιε στοιχείο</w:t>
            </w:r>
            <w:r>
              <w:rPr>
                <w:rFonts w:ascii="Times New Roman" w:hAnsi="Times New Roman"/>
                <w:sz w:val="24"/>
              </w:rPr>
              <w:t> </w:t>
            </w:r>
            <w:r w:rsidRPr="00AE4F96">
              <w:rPr>
                <w:rFonts w:ascii="Times New Roman" w:hAnsi="Times New Roman"/>
                <w:sz w:val="24"/>
                <w:lang w:val="el-GR"/>
              </w:rPr>
              <w:t>δ) και άρθρο</w:t>
            </w:r>
            <w:r>
              <w:rPr>
                <w:rFonts w:ascii="Times New Roman" w:hAnsi="Times New Roman"/>
                <w:sz w:val="24"/>
              </w:rPr>
              <w:t> </w:t>
            </w:r>
            <w:r w:rsidRPr="00AE4F96">
              <w:rPr>
                <w:rFonts w:ascii="Times New Roman" w:hAnsi="Times New Roman"/>
                <w:sz w:val="24"/>
                <w:lang w:val="el-GR"/>
              </w:rPr>
              <w:t>428ια παράγραφος</w:t>
            </w:r>
            <w:r>
              <w:rPr>
                <w:rFonts w:ascii="Times New Roman" w:hAnsi="Times New Roman"/>
                <w:sz w:val="24"/>
              </w:rPr>
              <w:t> </w:t>
            </w:r>
            <w:r w:rsidRPr="00AE4F96">
              <w:rPr>
                <w:rFonts w:ascii="Times New Roman" w:hAnsi="Times New Roman"/>
                <w:sz w:val="24"/>
                <w:lang w:val="el-GR"/>
              </w:rPr>
              <w:t>3 στοιχείο</w:t>
            </w:r>
            <w:r>
              <w:rPr>
                <w:rFonts w:ascii="Times New Roman" w:hAnsi="Times New Roman"/>
                <w:sz w:val="24"/>
              </w:rPr>
              <w:t> </w:t>
            </w:r>
            <w:r w:rsidRPr="00AE4F96">
              <w:rPr>
                <w:rFonts w:ascii="Times New Roman" w:hAnsi="Times New Roman"/>
                <w:sz w:val="24"/>
                <w:lang w:val="el-GR"/>
              </w:rPr>
              <w:t>δ) του ΚΚΑ</w:t>
            </w:r>
          </w:p>
          <w:p w14:paraId="06D7D9E7"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 xml:space="preserve">Άλλα κεφαλαιακά μέσα με εναπομένουσα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xml:space="preserve"> ενός έτους τουλάχιστον κατά την ημερομηνία αναφοράς της δημοσιοποίησης.</w:t>
            </w:r>
          </w:p>
          <w:p w14:paraId="21CF35D5"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 xml:space="preserve">Στην περίπτωση άλλων κεφαλαιακών μέσων εξαγοράσιμων από το ίδρυμα, και ανεξάρτητα από το εάν το ίδρυμα έχει ασκήσει το δικαίωμα εξαγοράς, η εναπομένουσα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xml:space="preserve"> του μέσου καθορίζεται από την ημερομηνία άσκησης του δικαιώματος εξαγοράς. Σε αυτήν την περίπτωση, το ίδρυμα δημοσιοποιεί αυτά τα στοιχεία στο αντίστοιχο χρονικό κλιμάκιο και δεν εφαρμόζει συντελεστή </w:t>
            </w:r>
            <w:r>
              <w:rPr>
                <w:rFonts w:ascii="Times New Roman" w:hAnsi="Times New Roman"/>
                <w:sz w:val="24"/>
              </w:rPr>
              <w:t>ASF</w:t>
            </w:r>
            <w:r w:rsidRPr="00AE4F96">
              <w:rPr>
                <w:rFonts w:ascii="Times New Roman" w:hAnsi="Times New Roman"/>
                <w:sz w:val="24"/>
                <w:lang w:val="el-GR"/>
              </w:rPr>
              <w:t xml:space="preserve"> 100</w:t>
            </w:r>
            <w:r>
              <w:rPr>
                <w:rFonts w:ascii="Times New Roman" w:hAnsi="Times New Roman"/>
                <w:sz w:val="24"/>
              </w:rPr>
              <w:t> </w:t>
            </w:r>
            <w:r w:rsidRPr="00AE4F96">
              <w:rPr>
                <w:rFonts w:ascii="Times New Roman" w:hAnsi="Times New Roman"/>
                <w:sz w:val="24"/>
                <w:lang w:val="el-GR"/>
              </w:rPr>
              <w:t>% εάν το δικαίωμα μπορεί να ασκηθεί εντός ενός έτους.</w:t>
            </w:r>
          </w:p>
        </w:tc>
      </w:tr>
      <w:tr w:rsidR="007E1815" w:rsidRPr="007F4CC8" w14:paraId="4A44833C" w14:textId="77777777" w:rsidTr="00D819DE">
        <w:tc>
          <w:tcPr>
            <w:tcW w:w="1355" w:type="dxa"/>
          </w:tcPr>
          <w:p w14:paraId="2BD678A7"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4</w:t>
            </w:r>
          </w:p>
        </w:tc>
        <w:tc>
          <w:tcPr>
            <w:tcW w:w="7705" w:type="dxa"/>
          </w:tcPr>
          <w:p w14:paraId="5DDF6D57"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Καταθέσεις λιανικής</w:t>
            </w:r>
          </w:p>
          <w:p w14:paraId="5F72982B" w14:textId="77777777" w:rsidR="007E1815" w:rsidRPr="00AE4F96" w:rsidRDefault="007E1815" w:rsidP="00D819DE">
            <w:pPr>
              <w:spacing w:after="240"/>
              <w:jc w:val="both"/>
              <w:rPr>
                <w:lang w:val="el-GR"/>
              </w:rPr>
            </w:pPr>
            <w:r w:rsidRPr="00AE4F96">
              <w:rPr>
                <w:rFonts w:ascii="Times New Roman" w:hAnsi="Times New Roman"/>
                <w:sz w:val="24"/>
                <w:lang w:val="el-GR"/>
              </w:rPr>
              <w:t>Τα ιδρύματα δημοσιοποιούν εδώ το άθροισμα των ποσών στη γραμμή</w:t>
            </w:r>
            <w:r>
              <w:rPr>
                <w:rFonts w:ascii="Times New Roman" w:hAnsi="Times New Roman"/>
                <w:sz w:val="24"/>
              </w:rPr>
              <w:t> </w:t>
            </w:r>
            <w:r w:rsidRPr="00AE4F96">
              <w:rPr>
                <w:rFonts w:ascii="Times New Roman" w:hAnsi="Times New Roman"/>
                <w:sz w:val="24"/>
                <w:lang w:val="el-GR"/>
              </w:rPr>
              <w:t>5 και στη γραμμή</w:t>
            </w:r>
            <w:r>
              <w:rPr>
                <w:rFonts w:ascii="Times New Roman" w:hAnsi="Times New Roman"/>
                <w:sz w:val="24"/>
              </w:rPr>
              <w:t> </w:t>
            </w:r>
            <w:r w:rsidRPr="00AE4F96">
              <w:rPr>
                <w:rFonts w:ascii="Times New Roman" w:hAnsi="Times New Roman"/>
                <w:sz w:val="24"/>
                <w:lang w:val="el-GR"/>
              </w:rPr>
              <w:t>6 του παρόντος υποδείγματος.</w:t>
            </w:r>
          </w:p>
        </w:tc>
      </w:tr>
      <w:tr w:rsidR="007E1815" w:rsidRPr="007F4CC8" w14:paraId="55F43930" w14:textId="77777777" w:rsidTr="00D819DE">
        <w:tc>
          <w:tcPr>
            <w:tcW w:w="1355" w:type="dxa"/>
          </w:tcPr>
          <w:p w14:paraId="416B77E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5</w:t>
            </w:r>
          </w:p>
        </w:tc>
        <w:tc>
          <w:tcPr>
            <w:tcW w:w="7705" w:type="dxa"/>
          </w:tcPr>
          <w:p w14:paraId="52E4A4D9"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Σταθερές καταθέσεις λιανικής</w:t>
            </w:r>
          </w:p>
          <w:p w14:paraId="28950C4C" w14:textId="77777777" w:rsidR="007E1815" w:rsidRPr="00AE4F96" w:rsidRDefault="007E1815" w:rsidP="00D819DE">
            <w:pPr>
              <w:pStyle w:val="TableParagraph"/>
              <w:spacing w:after="240"/>
              <w:jc w:val="both"/>
              <w:rPr>
                <w:rFonts w:ascii="Times New Roman" w:hAnsi="Times New Roman"/>
                <w:sz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428ιδ του ΚΚΑ</w:t>
            </w:r>
          </w:p>
          <w:p w14:paraId="790595EC"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Τα ιδρύματα περιλαμβάνουν το μέρος των ποσών των καταθέσεων λιανικής που καλύπτονται από σύστημα εγγύησης των καταθέσεων σύμφωνα με την οδηγία</w:t>
            </w:r>
            <w:r>
              <w:rPr>
                <w:rFonts w:ascii="Times New Roman" w:hAnsi="Times New Roman"/>
                <w:sz w:val="24"/>
              </w:rPr>
              <w:t> </w:t>
            </w:r>
            <w:r w:rsidRPr="00AE4F96">
              <w:rPr>
                <w:rFonts w:ascii="Times New Roman" w:hAnsi="Times New Roman"/>
                <w:sz w:val="24"/>
                <w:lang w:val="el-GR"/>
              </w:rPr>
              <w:t>94/19/ΕΚ ή την οδηγία</w:t>
            </w:r>
            <w:r>
              <w:rPr>
                <w:rFonts w:ascii="Times New Roman" w:hAnsi="Times New Roman"/>
                <w:sz w:val="24"/>
              </w:rPr>
              <w:t> </w:t>
            </w:r>
            <w:r w:rsidRPr="00AE4F96">
              <w:rPr>
                <w:rFonts w:ascii="Times New Roman" w:hAnsi="Times New Roman"/>
                <w:sz w:val="24"/>
                <w:lang w:val="el-GR"/>
              </w:rPr>
              <w:t>2014/49/ΕΕ ή από ισοδύναμο σύστημα εγγύησης των καταθέσεων σε τρίτη χώρα και είτε αποτελεί τμήμα μιας καθιερωμένης σχέσης που καθιστά πολύ απίθανη την ενδεχόμενη ανάληψη ή τηρείται σε συναλλακτικό λογαριασμό σύμφωνα με το άρθρο</w:t>
            </w:r>
            <w:r>
              <w:rPr>
                <w:rFonts w:ascii="Times New Roman" w:hAnsi="Times New Roman"/>
                <w:sz w:val="24"/>
              </w:rPr>
              <w:t> </w:t>
            </w:r>
            <w:r w:rsidRPr="00AE4F96">
              <w:rPr>
                <w:rFonts w:ascii="Times New Roman" w:hAnsi="Times New Roman"/>
                <w:sz w:val="24"/>
                <w:lang w:val="el-GR"/>
              </w:rPr>
              <w:t>24 παράγραφοι</w:t>
            </w:r>
            <w:r>
              <w:rPr>
                <w:rFonts w:ascii="Times New Roman" w:hAnsi="Times New Roman"/>
                <w:sz w:val="24"/>
              </w:rPr>
              <w:t> </w:t>
            </w:r>
            <w:r w:rsidRPr="00AE4F96">
              <w:rPr>
                <w:rFonts w:ascii="Times New Roman" w:hAnsi="Times New Roman"/>
                <w:sz w:val="24"/>
                <w:lang w:val="el-GR"/>
              </w:rPr>
              <w:t>2 και 3 του κατ’</w:t>
            </w:r>
            <w:r>
              <w:rPr>
                <w:rFonts w:ascii="Times New Roman" w:hAnsi="Times New Roman"/>
                <w:sz w:val="24"/>
              </w:rPr>
              <w:t> </w:t>
            </w:r>
            <w:r w:rsidRPr="00AE4F96">
              <w:rPr>
                <w:rFonts w:ascii="Times New Roman" w:hAnsi="Times New Roman"/>
                <w:sz w:val="24"/>
                <w:lang w:val="el-GR"/>
              </w:rPr>
              <w:t>εξουσιοδότηση κανονισμού (ΕΕ)</w:t>
            </w:r>
            <w:r>
              <w:rPr>
                <w:rFonts w:ascii="Times New Roman" w:hAnsi="Times New Roman"/>
                <w:sz w:val="24"/>
              </w:rPr>
              <w:t> </w:t>
            </w:r>
            <w:r w:rsidRPr="00AE4F96">
              <w:rPr>
                <w:rFonts w:ascii="Times New Roman" w:hAnsi="Times New Roman"/>
                <w:sz w:val="24"/>
                <w:lang w:val="el-GR"/>
              </w:rPr>
              <w:t>2015/61 της Επιτροπής αντιστοίχως και εφόσον:</w:t>
            </w:r>
          </w:p>
          <w:p w14:paraId="66558887" w14:textId="77777777" w:rsidR="007E1815" w:rsidRPr="00AE4F96" w:rsidRDefault="007E1815" w:rsidP="007E1815">
            <w:pPr>
              <w:pStyle w:val="TableParagraph"/>
              <w:numPr>
                <w:ilvl w:val="0"/>
                <w:numId w:val="7"/>
              </w:numPr>
              <w:spacing w:after="240"/>
              <w:ind w:left="714" w:hanging="357"/>
              <w:jc w:val="both"/>
              <w:rPr>
                <w:rFonts w:ascii="Times New Roman" w:hAnsi="Times New Roman"/>
                <w:sz w:val="24"/>
                <w:szCs w:val="24"/>
                <w:lang w:val="el-GR"/>
              </w:rPr>
            </w:pPr>
            <w:r w:rsidRPr="00AE4F96">
              <w:rPr>
                <w:rFonts w:ascii="Times New Roman" w:hAnsi="Times New Roman"/>
                <w:sz w:val="24"/>
                <w:lang w:val="el-GR"/>
              </w:rPr>
              <w:t>οι καταθέσεις αυτές δεν πληρούν τα κριτήρια για υψηλότερο ποσοστό εκροής σύμφωνα με το άρθρο</w:t>
            </w:r>
            <w:r>
              <w:rPr>
                <w:rFonts w:ascii="Times New Roman" w:hAnsi="Times New Roman"/>
                <w:sz w:val="24"/>
              </w:rPr>
              <w:t> </w:t>
            </w:r>
            <w:r w:rsidRPr="00AE4F96">
              <w:rPr>
                <w:rFonts w:ascii="Times New Roman" w:hAnsi="Times New Roman"/>
                <w:sz w:val="24"/>
                <w:lang w:val="el-GR"/>
              </w:rPr>
              <w:t>25 παράγραφοι</w:t>
            </w:r>
            <w:r>
              <w:rPr>
                <w:rFonts w:ascii="Times New Roman" w:hAnsi="Times New Roman"/>
                <w:sz w:val="24"/>
              </w:rPr>
              <w:t> </w:t>
            </w:r>
            <w:r w:rsidRPr="00AE4F96">
              <w:rPr>
                <w:rFonts w:ascii="Times New Roman" w:hAnsi="Times New Roman"/>
                <w:sz w:val="24"/>
                <w:lang w:val="el-GR"/>
              </w:rPr>
              <w:t>2, 3 και 5 του κατ’</w:t>
            </w:r>
            <w:r>
              <w:rPr>
                <w:rFonts w:ascii="Times New Roman" w:hAnsi="Times New Roman"/>
                <w:sz w:val="24"/>
              </w:rPr>
              <w:t> </w:t>
            </w:r>
            <w:r w:rsidRPr="00AE4F96">
              <w:rPr>
                <w:rFonts w:ascii="Times New Roman" w:hAnsi="Times New Roman"/>
                <w:sz w:val="24"/>
                <w:lang w:val="el-GR"/>
              </w:rPr>
              <w:t>εξουσιοδότηση κανονισμού (ΕΕ)</w:t>
            </w:r>
            <w:r>
              <w:rPr>
                <w:rFonts w:ascii="Times New Roman" w:hAnsi="Times New Roman"/>
                <w:sz w:val="24"/>
              </w:rPr>
              <w:t> </w:t>
            </w:r>
            <w:r w:rsidRPr="00AE4F96">
              <w:rPr>
                <w:rFonts w:ascii="Times New Roman" w:hAnsi="Times New Roman"/>
                <w:sz w:val="24"/>
                <w:lang w:val="el-GR"/>
              </w:rPr>
              <w:t>2015/61 της Επιτροπής και, σε αυτήν την περίπτωση, περιλαμβάνονται ως «λιγότερο σταθερές καταθέσεις»· ή</w:t>
            </w:r>
          </w:p>
          <w:p w14:paraId="7A637E61" w14:textId="77777777" w:rsidR="007E1815" w:rsidRPr="00AE4F96" w:rsidRDefault="007E1815" w:rsidP="007E1815">
            <w:pPr>
              <w:pStyle w:val="TableParagraph"/>
              <w:numPr>
                <w:ilvl w:val="0"/>
                <w:numId w:val="7"/>
              </w:numPr>
              <w:spacing w:after="240"/>
              <w:ind w:left="714" w:hanging="357"/>
              <w:jc w:val="both"/>
              <w:rPr>
                <w:rFonts w:ascii="Times New Roman" w:hAnsi="Times New Roman"/>
                <w:sz w:val="24"/>
                <w:szCs w:val="24"/>
                <w:lang w:val="el-GR"/>
              </w:rPr>
            </w:pPr>
            <w:r w:rsidRPr="00AE4F96">
              <w:rPr>
                <w:rFonts w:ascii="Times New Roman" w:hAnsi="Times New Roman"/>
                <w:sz w:val="24"/>
                <w:lang w:val="el-GR"/>
              </w:rPr>
              <w:t>οι καταθέσεις αυτές δεν έχουν ληφθεί σε τρίτες χώρες όπου εφαρμόζεται υψηλότερο ποσοστό εκροής σύμφωνα με το άρθρο</w:t>
            </w:r>
            <w:r>
              <w:rPr>
                <w:rFonts w:ascii="Times New Roman" w:hAnsi="Times New Roman"/>
                <w:sz w:val="24"/>
              </w:rPr>
              <w:t> </w:t>
            </w:r>
            <w:r w:rsidRPr="00AE4F96">
              <w:rPr>
                <w:rFonts w:ascii="Times New Roman" w:hAnsi="Times New Roman"/>
                <w:sz w:val="24"/>
                <w:lang w:val="el-GR"/>
              </w:rPr>
              <w:t>25 παράγραφος</w:t>
            </w:r>
            <w:r>
              <w:rPr>
                <w:rFonts w:ascii="Times New Roman" w:hAnsi="Times New Roman"/>
                <w:sz w:val="24"/>
              </w:rPr>
              <w:t> </w:t>
            </w:r>
            <w:r w:rsidRPr="00AE4F96">
              <w:rPr>
                <w:rFonts w:ascii="Times New Roman" w:hAnsi="Times New Roman"/>
                <w:sz w:val="24"/>
                <w:lang w:val="el-GR"/>
              </w:rPr>
              <w:t>5 του κατ’ εξουσιοδότηση κανονισμού (ΕΕ)</w:t>
            </w:r>
            <w:r>
              <w:rPr>
                <w:rFonts w:ascii="Times New Roman" w:hAnsi="Times New Roman"/>
                <w:sz w:val="24"/>
              </w:rPr>
              <w:t> </w:t>
            </w:r>
            <w:r w:rsidRPr="00AE4F96">
              <w:rPr>
                <w:rFonts w:ascii="Times New Roman" w:hAnsi="Times New Roman"/>
                <w:sz w:val="24"/>
                <w:lang w:val="el-GR"/>
              </w:rPr>
              <w:t>2015/61 της Επιτροπής και, σε αυτήν την περίπτωση, περιλαμβάνονται ως «λιγότερο σταθερές καταθέσεις».</w:t>
            </w:r>
          </w:p>
        </w:tc>
      </w:tr>
      <w:tr w:rsidR="007E1815" w:rsidRPr="007F4CC8" w14:paraId="194C8C25" w14:textId="77777777" w:rsidTr="00D819DE">
        <w:tc>
          <w:tcPr>
            <w:tcW w:w="1355" w:type="dxa"/>
          </w:tcPr>
          <w:p w14:paraId="1542BA4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6</w:t>
            </w:r>
          </w:p>
        </w:tc>
        <w:tc>
          <w:tcPr>
            <w:tcW w:w="7705" w:type="dxa"/>
          </w:tcPr>
          <w:p w14:paraId="3BF13FD0"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Λιγότερο σταθερές καταθέσεις λιανικής</w:t>
            </w:r>
          </w:p>
          <w:p w14:paraId="3129D85E"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428ιγ του ΚΚΑ</w:t>
            </w:r>
          </w:p>
          <w:p w14:paraId="2D5E64C4"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lastRenderedPageBreak/>
              <w:t>Τα ιδρύματα δημοσιοποιούν το ποσό των άλλων καταθέσεων λιανικής εκτός από εκείνες που αναφέρονται ως «σταθερές καταθέσεις λιανικής» στη γραμμή 5 του παρόντος υποδείγματος.</w:t>
            </w:r>
          </w:p>
        </w:tc>
      </w:tr>
      <w:tr w:rsidR="007E1815" w:rsidRPr="007F4CC8" w14:paraId="73E8C93F" w14:textId="77777777" w:rsidTr="00D819DE">
        <w:tc>
          <w:tcPr>
            <w:tcW w:w="1355" w:type="dxa"/>
          </w:tcPr>
          <w:p w14:paraId="28A93239"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7</w:t>
            </w:r>
          </w:p>
        </w:tc>
        <w:tc>
          <w:tcPr>
            <w:tcW w:w="7705" w:type="dxa"/>
          </w:tcPr>
          <w:p w14:paraId="7DF872D2"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Χρηματοδότηση χονδρικής:</w:t>
            </w:r>
          </w:p>
          <w:p w14:paraId="3F59D262"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το άθροισμα των ποσών στη γραμμή</w:t>
            </w:r>
            <w:r>
              <w:rPr>
                <w:rFonts w:ascii="Times New Roman" w:hAnsi="Times New Roman"/>
                <w:sz w:val="24"/>
              </w:rPr>
              <w:t> </w:t>
            </w:r>
            <w:r w:rsidRPr="00AE4F96">
              <w:rPr>
                <w:rFonts w:ascii="Times New Roman" w:hAnsi="Times New Roman"/>
                <w:sz w:val="24"/>
                <w:lang w:val="el-GR"/>
              </w:rPr>
              <w:t>8 και στη γραμμή</w:t>
            </w:r>
            <w:r>
              <w:rPr>
                <w:rFonts w:ascii="Times New Roman" w:hAnsi="Times New Roman"/>
                <w:sz w:val="24"/>
              </w:rPr>
              <w:t> </w:t>
            </w:r>
            <w:r w:rsidRPr="00AE4F96">
              <w:rPr>
                <w:rFonts w:ascii="Times New Roman" w:hAnsi="Times New Roman"/>
                <w:sz w:val="24"/>
                <w:lang w:val="el-GR"/>
              </w:rPr>
              <w:t>9 του παρόντος υποδείγματος.</w:t>
            </w:r>
          </w:p>
        </w:tc>
      </w:tr>
      <w:tr w:rsidR="007E1815" w:rsidRPr="007F4CC8" w14:paraId="394C1803" w14:textId="77777777" w:rsidTr="00D819DE">
        <w:tc>
          <w:tcPr>
            <w:tcW w:w="1355" w:type="dxa"/>
          </w:tcPr>
          <w:p w14:paraId="447D795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8</w:t>
            </w:r>
          </w:p>
        </w:tc>
        <w:tc>
          <w:tcPr>
            <w:tcW w:w="7705" w:type="dxa"/>
          </w:tcPr>
          <w:p w14:paraId="1CA3BC9E" w14:textId="77777777" w:rsidR="007E1815" w:rsidRPr="00AE4F96" w:rsidRDefault="007E1815" w:rsidP="00D819DE">
            <w:pPr>
              <w:spacing w:after="240"/>
              <w:jc w:val="both"/>
              <w:rPr>
                <w:rFonts w:ascii="Times New Roman" w:hAnsi="Times New Roman"/>
                <w:b/>
                <w:sz w:val="24"/>
                <w:u w:val="single"/>
                <w:lang w:val="el-GR"/>
              </w:rPr>
            </w:pPr>
            <w:r w:rsidRPr="00AE4F96">
              <w:rPr>
                <w:rFonts w:ascii="Times New Roman" w:hAnsi="Times New Roman"/>
                <w:b/>
                <w:sz w:val="24"/>
                <w:lang w:val="el-GR"/>
              </w:rPr>
              <w:t>Λειτουργικές καταθέσεις</w:t>
            </w:r>
          </w:p>
          <w:p w14:paraId="5087C8F9"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428ιβ στοιχείο</w:t>
            </w:r>
            <w:r>
              <w:rPr>
                <w:rFonts w:ascii="Times New Roman" w:hAnsi="Times New Roman"/>
                <w:sz w:val="24"/>
              </w:rPr>
              <w:t> </w:t>
            </w:r>
            <w:r w:rsidRPr="00AE4F96">
              <w:rPr>
                <w:rFonts w:ascii="Times New Roman" w:hAnsi="Times New Roman"/>
                <w:sz w:val="24"/>
                <w:lang w:val="el-GR"/>
              </w:rPr>
              <w:t>α) του ΚΚΑ</w:t>
            </w:r>
          </w:p>
          <w:p w14:paraId="0435CE8E"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Τα ιδρύματα δημοσιοποιούν εδώ το μέρος των καταθέσεων που λαμβάνονται (τόσο από χρηματοπιστωτικούς πελάτες όσο και από άλλους μη χρηματοπιστωτικούς πελάτες) που πληρούν τα κριτήρια για τις λειτουργικές καταθέσεις που ορίζονται στο άρθρο</w:t>
            </w:r>
            <w:r>
              <w:rPr>
                <w:rFonts w:ascii="Times New Roman" w:hAnsi="Times New Roman"/>
                <w:sz w:val="24"/>
              </w:rPr>
              <w:t> </w:t>
            </w:r>
            <w:r w:rsidRPr="00AE4F96">
              <w:rPr>
                <w:rFonts w:ascii="Times New Roman" w:hAnsi="Times New Roman"/>
                <w:sz w:val="24"/>
                <w:lang w:val="el-GR"/>
              </w:rPr>
              <w:t>27 του κατ’ εξουσιοδότηση κανονισμού (ΕΕ)</w:t>
            </w:r>
            <w:r>
              <w:rPr>
                <w:rFonts w:ascii="Times New Roman" w:hAnsi="Times New Roman"/>
                <w:sz w:val="24"/>
              </w:rPr>
              <w:t> </w:t>
            </w:r>
            <w:r w:rsidRPr="00AE4F96">
              <w:rPr>
                <w:rFonts w:ascii="Times New Roman" w:hAnsi="Times New Roman"/>
                <w:sz w:val="24"/>
                <w:lang w:val="el-GR"/>
              </w:rPr>
              <w:t>2015/61 της Επιτροπής, το οποίο είναι απαραίτητο για την πρόβλεψη λειτουργικών υπηρεσιών. Οι λειτουργικές καταθέσεις που υπερβαίνουν το ποσό που απαιτείται για την παροχή λειτουργικών υπηρεσιών δεν περιλαμβάνονται εδώ, αλλά στη γραμμή</w:t>
            </w:r>
            <w:r>
              <w:rPr>
                <w:rFonts w:ascii="Times New Roman" w:hAnsi="Times New Roman"/>
                <w:sz w:val="24"/>
              </w:rPr>
              <w:t> </w:t>
            </w:r>
            <w:r w:rsidRPr="00AE4F96">
              <w:rPr>
                <w:rFonts w:ascii="Times New Roman" w:hAnsi="Times New Roman"/>
                <w:sz w:val="24"/>
                <w:lang w:val="el-GR"/>
              </w:rPr>
              <w:t>9, «Άλλη χρηματοδότηση χονδρικής» του παρόντος υποδείγματος.</w:t>
            </w:r>
          </w:p>
          <w:p w14:paraId="1F41C5C0"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Καταθέσεις που πραγματοποιούνται στο πλαίσιο αντίστοιχης τραπεζικής σχέσης ή της παροχής υπηρεσιών βασικής μεσολάβησης θεωρούνται μη λειτουργικές καταθέσεις σύμφωνα με το άρθρο</w:t>
            </w:r>
            <w:r>
              <w:rPr>
                <w:rFonts w:ascii="Times New Roman" w:hAnsi="Times New Roman"/>
                <w:sz w:val="24"/>
              </w:rPr>
              <w:t> </w:t>
            </w:r>
            <w:r w:rsidRPr="00AE4F96">
              <w:rPr>
                <w:rFonts w:ascii="Times New Roman" w:hAnsi="Times New Roman"/>
                <w:sz w:val="24"/>
                <w:lang w:val="el-GR"/>
              </w:rPr>
              <w:t>27 παράγραφος</w:t>
            </w:r>
            <w:r>
              <w:rPr>
                <w:rFonts w:ascii="Times New Roman" w:hAnsi="Times New Roman"/>
                <w:sz w:val="24"/>
              </w:rPr>
              <w:t> </w:t>
            </w:r>
            <w:r w:rsidRPr="00AE4F96">
              <w:rPr>
                <w:rFonts w:ascii="Times New Roman" w:hAnsi="Times New Roman"/>
                <w:sz w:val="24"/>
                <w:lang w:val="el-GR"/>
              </w:rPr>
              <w:t>5 του κατ’</w:t>
            </w:r>
            <w:r>
              <w:rPr>
                <w:rFonts w:ascii="Times New Roman" w:hAnsi="Times New Roman"/>
                <w:sz w:val="24"/>
              </w:rPr>
              <w:t> </w:t>
            </w:r>
            <w:r w:rsidRPr="00AE4F96">
              <w:rPr>
                <w:rFonts w:ascii="Times New Roman" w:hAnsi="Times New Roman"/>
                <w:sz w:val="24"/>
                <w:lang w:val="el-GR"/>
              </w:rPr>
              <w:t>εξουσιοδότηση κανονισμού (ΕΕ)</w:t>
            </w:r>
            <w:r>
              <w:rPr>
                <w:rFonts w:ascii="Times New Roman" w:hAnsi="Times New Roman"/>
                <w:sz w:val="24"/>
              </w:rPr>
              <w:t> </w:t>
            </w:r>
            <w:r w:rsidRPr="00AE4F96">
              <w:rPr>
                <w:rFonts w:ascii="Times New Roman" w:hAnsi="Times New Roman"/>
                <w:sz w:val="24"/>
                <w:lang w:val="el-GR"/>
              </w:rPr>
              <w:t>2015/61 της Επιτροπής και δημοσιοποιούνται στη γραμμή</w:t>
            </w:r>
            <w:r>
              <w:rPr>
                <w:rFonts w:ascii="Times New Roman" w:hAnsi="Times New Roman"/>
                <w:sz w:val="24"/>
              </w:rPr>
              <w:t> </w:t>
            </w:r>
            <w:r w:rsidRPr="00AE4F96">
              <w:rPr>
                <w:rFonts w:ascii="Times New Roman" w:hAnsi="Times New Roman"/>
                <w:sz w:val="24"/>
                <w:lang w:val="el-GR"/>
              </w:rPr>
              <w:t>9, «Άλλη χρηματοδότηση χονδρικής» του παρόντος υποδείγματος.</w:t>
            </w:r>
          </w:p>
        </w:tc>
      </w:tr>
      <w:tr w:rsidR="007E1815" w:rsidRPr="007F4CC8" w14:paraId="77301B7B" w14:textId="77777777" w:rsidTr="00D819DE">
        <w:tc>
          <w:tcPr>
            <w:tcW w:w="1355" w:type="dxa"/>
          </w:tcPr>
          <w:p w14:paraId="37420CF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9</w:t>
            </w:r>
          </w:p>
        </w:tc>
        <w:tc>
          <w:tcPr>
            <w:tcW w:w="7705" w:type="dxa"/>
          </w:tcPr>
          <w:p w14:paraId="7BF7824B"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Άλλη χρηματοδότηση χονδρικής</w:t>
            </w:r>
          </w:p>
          <w:p w14:paraId="614E640A"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428ιγ στοιχεία</w:t>
            </w:r>
            <w:r>
              <w:rPr>
                <w:rFonts w:ascii="Times New Roman" w:hAnsi="Times New Roman"/>
                <w:sz w:val="24"/>
              </w:rPr>
              <w:t> </w:t>
            </w:r>
            <w:r w:rsidRPr="00AE4F96">
              <w:rPr>
                <w:rFonts w:ascii="Times New Roman" w:hAnsi="Times New Roman"/>
                <w:sz w:val="24"/>
                <w:lang w:val="el-GR"/>
              </w:rPr>
              <w:t>β) έως δ), άρθρο</w:t>
            </w:r>
            <w:r>
              <w:rPr>
                <w:rFonts w:ascii="Times New Roman" w:hAnsi="Times New Roman"/>
                <w:sz w:val="24"/>
              </w:rPr>
              <w:t> </w:t>
            </w:r>
            <w:r w:rsidRPr="00AE4F96">
              <w:rPr>
                <w:rFonts w:ascii="Times New Roman" w:hAnsi="Times New Roman"/>
                <w:sz w:val="24"/>
                <w:lang w:val="el-GR"/>
              </w:rPr>
              <w:t>428ζ και άρθρο</w:t>
            </w:r>
            <w:r>
              <w:rPr>
                <w:rFonts w:ascii="Times New Roman" w:hAnsi="Times New Roman"/>
                <w:sz w:val="24"/>
              </w:rPr>
              <w:t> </w:t>
            </w:r>
            <w:r w:rsidRPr="00AE4F96">
              <w:rPr>
                <w:rFonts w:ascii="Times New Roman" w:hAnsi="Times New Roman"/>
                <w:sz w:val="24"/>
                <w:lang w:val="el-GR"/>
              </w:rPr>
              <w:t>428ια παράγραφος</w:t>
            </w:r>
            <w:r>
              <w:rPr>
                <w:rFonts w:ascii="Times New Roman" w:hAnsi="Times New Roman"/>
                <w:sz w:val="24"/>
              </w:rPr>
              <w:t> </w:t>
            </w:r>
            <w:r w:rsidRPr="00AE4F96">
              <w:rPr>
                <w:rFonts w:ascii="Times New Roman" w:hAnsi="Times New Roman"/>
                <w:sz w:val="24"/>
                <w:lang w:val="el-GR"/>
              </w:rPr>
              <w:t>3 στοιχεία</w:t>
            </w:r>
            <w:r>
              <w:rPr>
                <w:rFonts w:ascii="Times New Roman" w:hAnsi="Times New Roman"/>
                <w:sz w:val="24"/>
              </w:rPr>
              <w:t> </w:t>
            </w:r>
            <w:r w:rsidRPr="00AE4F96">
              <w:rPr>
                <w:rFonts w:ascii="Times New Roman" w:hAnsi="Times New Roman"/>
                <w:sz w:val="24"/>
                <w:lang w:val="el-GR"/>
              </w:rPr>
              <w:t>γ) και δ) του ΚΚΑ</w:t>
            </w:r>
          </w:p>
          <w:p w14:paraId="1760C9F3"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τη χρηματοδότηση χονδρικής εκτός του ποσού των λειτουργικών καταθέσεων που είναι απαραίτητο για την παροχή λειτουργικών υπηρεσιών. Περιλαμβάνονται υποχρεώσεις που παρέχονται από κεντρικές κυβερνήσεις, περιφερειακές κυβερνήσεις, τοπικές αρχές, οντότητες του δημόσιου τομέα, πολυμερείς τράπεζες ανάπτυξης, διεθνείς οργανισμούς, κεντρικές τράπεζες και από οποιονδήποτε άλλο μη χρηματοπιστωτικό ή χρηματοπιστωτικό πελάτη, καθώς και υποχρεώσεις όπου ο αντισυμβαλλόμενος δεν μπορεί να προσδιοριστεί, συμπεριλαμβανομένης της έκδοσης κινητών αξιών για τις οποίες δεν μπορεί να προσδιοριστεί ο κάτοχος.</w:t>
            </w:r>
          </w:p>
        </w:tc>
      </w:tr>
      <w:tr w:rsidR="007E1815" w:rsidRPr="007F4CC8" w14:paraId="432CD3F5" w14:textId="77777777" w:rsidTr="00D819DE">
        <w:tc>
          <w:tcPr>
            <w:tcW w:w="1355" w:type="dxa"/>
          </w:tcPr>
          <w:p w14:paraId="0B9B44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10</w:t>
            </w:r>
          </w:p>
        </w:tc>
        <w:tc>
          <w:tcPr>
            <w:tcW w:w="7705" w:type="dxa"/>
          </w:tcPr>
          <w:p w14:paraId="5E993417"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Αλληλεξαρτώμενα στοιχεία παθητικού</w:t>
            </w:r>
            <w:r w:rsidRPr="00AE4F96">
              <w:rPr>
                <w:rFonts w:ascii="Times New Roman" w:hAnsi="Times New Roman"/>
                <w:sz w:val="24"/>
                <w:lang w:val="el-GR"/>
              </w:rPr>
              <w:t xml:space="preserve"> </w:t>
            </w:r>
          </w:p>
          <w:p w14:paraId="36702D93"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Άρθρο 428ια</w:t>
            </w:r>
            <w:r>
              <w:rPr>
                <w:rFonts w:ascii="Times New Roman" w:hAnsi="Times New Roman"/>
                <w:sz w:val="24"/>
              </w:rPr>
              <w:t> </w:t>
            </w:r>
            <w:r w:rsidRPr="00AE4F96">
              <w:rPr>
                <w:rFonts w:ascii="Times New Roman" w:hAnsi="Times New Roman"/>
                <w:sz w:val="24"/>
                <w:lang w:val="el-GR"/>
              </w:rPr>
              <w:t>παράγραφος</w:t>
            </w:r>
            <w:r>
              <w:rPr>
                <w:rFonts w:ascii="Times New Roman" w:hAnsi="Times New Roman"/>
                <w:sz w:val="24"/>
              </w:rPr>
              <w:t> </w:t>
            </w:r>
            <w:r w:rsidRPr="00AE4F96">
              <w:rPr>
                <w:rFonts w:ascii="Times New Roman" w:hAnsi="Times New Roman"/>
                <w:sz w:val="24"/>
                <w:lang w:val="el-GR"/>
              </w:rPr>
              <w:t>3 στοιχείο</w:t>
            </w:r>
            <w:r>
              <w:rPr>
                <w:rFonts w:ascii="Times New Roman" w:hAnsi="Times New Roman"/>
                <w:sz w:val="24"/>
              </w:rPr>
              <w:t> </w:t>
            </w:r>
            <w:r w:rsidRPr="00AE4F96">
              <w:rPr>
                <w:rFonts w:ascii="Times New Roman" w:hAnsi="Times New Roman"/>
                <w:sz w:val="24"/>
                <w:lang w:val="el-GR"/>
              </w:rPr>
              <w:t>β) του ΚΚΑ</w:t>
            </w:r>
          </w:p>
          <w:p w14:paraId="0891245E" w14:textId="77777777" w:rsidR="007E1815" w:rsidRPr="00AE4F96" w:rsidRDefault="007E1815" w:rsidP="00D819DE">
            <w:pPr>
              <w:pStyle w:val="TableParagraph"/>
              <w:spacing w:after="240"/>
              <w:jc w:val="both"/>
              <w:rPr>
                <w:rFonts w:ascii="Times New Roman" w:hAnsi="Times New Roman"/>
                <w:sz w:val="24"/>
                <w:lang w:val="el-GR"/>
              </w:rPr>
            </w:pPr>
            <w:r w:rsidRPr="00AE4F96">
              <w:rPr>
                <w:rFonts w:ascii="Times New Roman" w:hAnsi="Times New Roman"/>
                <w:sz w:val="24"/>
                <w:lang w:val="el-GR"/>
              </w:rPr>
              <w:t xml:space="preserve">Τα ιδρύματα δημοσιοποιούν στοιχεία παθητικού που, αφού εγκριθούν από τη σχετική αρμόδια αρχή, αντιμετωπίζονται ως αλληλεξαρτώμενα με στοιχεία </w:t>
            </w:r>
            <w:r w:rsidRPr="00AE4F96">
              <w:rPr>
                <w:rFonts w:ascii="Times New Roman" w:hAnsi="Times New Roman"/>
                <w:sz w:val="24"/>
                <w:lang w:val="el-GR"/>
              </w:rPr>
              <w:lastRenderedPageBreak/>
              <w:t>ενεργητικού σύμφωνα με το άρθρο</w:t>
            </w:r>
            <w:r>
              <w:rPr>
                <w:rFonts w:ascii="Times New Roman" w:hAnsi="Times New Roman"/>
                <w:sz w:val="24"/>
              </w:rPr>
              <w:t> </w:t>
            </w:r>
            <w:r w:rsidRPr="00AE4F96">
              <w:rPr>
                <w:rFonts w:ascii="Times New Roman" w:hAnsi="Times New Roman"/>
                <w:sz w:val="24"/>
                <w:lang w:val="el-GR"/>
              </w:rPr>
              <w:t>428στ του ΚΚΑ.</w:t>
            </w:r>
          </w:p>
        </w:tc>
      </w:tr>
      <w:tr w:rsidR="007E1815" w:rsidRPr="007F4CC8" w14:paraId="321417B9" w14:textId="77777777" w:rsidTr="00D819DE">
        <w:tc>
          <w:tcPr>
            <w:tcW w:w="1355" w:type="dxa"/>
          </w:tcPr>
          <w:p w14:paraId="29CC457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11</w:t>
            </w:r>
          </w:p>
        </w:tc>
        <w:tc>
          <w:tcPr>
            <w:tcW w:w="7705" w:type="dxa"/>
          </w:tcPr>
          <w:p w14:paraId="1C92539B"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 xml:space="preserve">Άλλες υποχρεώσεις </w:t>
            </w:r>
          </w:p>
          <w:p w14:paraId="349E2592"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το άθροισμα των ποσών στις γραμμές</w:t>
            </w:r>
            <w:r>
              <w:rPr>
                <w:rFonts w:ascii="Times New Roman" w:hAnsi="Times New Roman"/>
                <w:sz w:val="24"/>
              </w:rPr>
              <w:t> </w:t>
            </w:r>
            <w:r w:rsidRPr="00AE4F96">
              <w:rPr>
                <w:rFonts w:ascii="Times New Roman" w:hAnsi="Times New Roman"/>
                <w:sz w:val="24"/>
                <w:lang w:val="el-GR"/>
              </w:rPr>
              <w:t>12 και</w:t>
            </w:r>
            <w:r>
              <w:rPr>
                <w:rFonts w:ascii="Times New Roman" w:hAnsi="Times New Roman"/>
                <w:sz w:val="24"/>
              </w:rPr>
              <w:t> </w:t>
            </w:r>
            <w:r w:rsidRPr="00AE4F96">
              <w:rPr>
                <w:rFonts w:ascii="Times New Roman" w:hAnsi="Times New Roman"/>
                <w:sz w:val="24"/>
                <w:lang w:val="el-GR"/>
              </w:rPr>
              <w:t>13 του παρόντος υποδείγματος.</w:t>
            </w:r>
          </w:p>
        </w:tc>
      </w:tr>
      <w:tr w:rsidR="007E1815" w:rsidRPr="007F4CC8" w14:paraId="6ABB8278" w14:textId="77777777" w:rsidTr="00D819DE">
        <w:tc>
          <w:tcPr>
            <w:tcW w:w="1355" w:type="dxa"/>
          </w:tcPr>
          <w:p w14:paraId="47DEEB33"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12</w:t>
            </w:r>
          </w:p>
        </w:tc>
        <w:tc>
          <w:tcPr>
            <w:tcW w:w="7705" w:type="dxa"/>
          </w:tcPr>
          <w:p w14:paraId="4DF1D8F2" w14:textId="77777777" w:rsidR="007E1815" w:rsidRPr="00AE4F96" w:rsidRDefault="007E1815" w:rsidP="00D819DE">
            <w:pPr>
              <w:spacing w:after="240"/>
              <w:jc w:val="both"/>
              <w:rPr>
                <w:rFonts w:ascii="Times New Roman" w:hAnsi="Times New Roman"/>
                <w:b/>
                <w:sz w:val="24"/>
                <w:u w:val="single"/>
                <w:lang w:val="el-GR"/>
              </w:rPr>
            </w:pPr>
            <w:r w:rsidRPr="00AE4F96">
              <w:rPr>
                <w:rFonts w:ascii="Times New Roman" w:hAnsi="Times New Roman"/>
                <w:b/>
                <w:sz w:val="24"/>
                <w:lang w:val="el-GR"/>
              </w:rPr>
              <w:t xml:space="preserve">Υποχρεώσεις σε παράγωγα στον δείκτη </w:t>
            </w:r>
            <w:r>
              <w:rPr>
                <w:rFonts w:ascii="Times New Roman" w:hAnsi="Times New Roman"/>
                <w:b/>
                <w:sz w:val="24"/>
              </w:rPr>
              <w:t>NSFR</w:t>
            </w:r>
          </w:p>
          <w:p w14:paraId="521C9873"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428ια παράγραφος</w:t>
            </w:r>
            <w:r>
              <w:rPr>
                <w:rFonts w:ascii="Times New Roman" w:hAnsi="Times New Roman"/>
                <w:sz w:val="24"/>
              </w:rPr>
              <w:t> </w:t>
            </w:r>
            <w:r w:rsidRPr="00AE4F96">
              <w:rPr>
                <w:rFonts w:ascii="Times New Roman" w:hAnsi="Times New Roman"/>
                <w:sz w:val="24"/>
                <w:lang w:val="el-GR"/>
              </w:rPr>
              <w:t>4 του ΚΚΑ</w:t>
            </w:r>
          </w:p>
          <w:p w14:paraId="2E115A21"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την αρνητική διαφορά μεταξύ συμψηφιστικών συνόλων που υπολογίζεται σύμφωνα με το άρθρο</w:t>
            </w:r>
            <w:r>
              <w:rPr>
                <w:rFonts w:ascii="Times New Roman" w:hAnsi="Times New Roman"/>
                <w:sz w:val="24"/>
              </w:rPr>
              <w:t> </w:t>
            </w:r>
            <w:r w:rsidRPr="00AE4F96">
              <w:rPr>
                <w:rFonts w:ascii="Times New Roman" w:hAnsi="Times New Roman"/>
                <w:sz w:val="24"/>
                <w:lang w:val="el-GR"/>
              </w:rPr>
              <w:t>428ια παράγραφος</w:t>
            </w:r>
            <w:r>
              <w:rPr>
                <w:rFonts w:ascii="Times New Roman" w:hAnsi="Times New Roman"/>
                <w:sz w:val="24"/>
              </w:rPr>
              <w:t> </w:t>
            </w:r>
            <w:r w:rsidRPr="00AE4F96">
              <w:rPr>
                <w:rFonts w:ascii="Times New Roman" w:hAnsi="Times New Roman"/>
                <w:sz w:val="24"/>
                <w:lang w:val="el-GR"/>
              </w:rPr>
              <w:t>4 του ΚΚΑ</w:t>
            </w:r>
          </w:p>
        </w:tc>
      </w:tr>
      <w:tr w:rsidR="007E1815" w:rsidRPr="007F4CC8" w14:paraId="48B82AAB" w14:textId="77777777" w:rsidTr="00D819DE">
        <w:tc>
          <w:tcPr>
            <w:tcW w:w="1355" w:type="dxa"/>
          </w:tcPr>
          <w:p w14:paraId="368937A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13</w:t>
            </w:r>
          </w:p>
        </w:tc>
        <w:tc>
          <w:tcPr>
            <w:tcW w:w="7705" w:type="dxa"/>
          </w:tcPr>
          <w:p w14:paraId="4929818C"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Όλες οι άλλες υποχρεώσεις και τα κεφαλαιακά μέσα που δεν περιλαμβάνονται στις παραπάνω κατηγορίες</w:t>
            </w:r>
          </w:p>
          <w:p w14:paraId="585BBD50"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428ια παράγραφοι</w:t>
            </w:r>
            <w:r>
              <w:rPr>
                <w:rFonts w:ascii="Times New Roman" w:hAnsi="Times New Roman"/>
                <w:sz w:val="24"/>
              </w:rPr>
              <w:t> </w:t>
            </w:r>
            <w:r w:rsidRPr="00AE4F96">
              <w:rPr>
                <w:rFonts w:ascii="Times New Roman" w:hAnsi="Times New Roman"/>
                <w:sz w:val="24"/>
                <w:lang w:val="el-GR"/>
              </w:rPr>
              <w:t>1 και 3 του ΚΚΑ</w:t>
            </w:r>
          </w:p>
          <w:p w14:paraId="527A7DA7"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το άθροισμα των ακόλουθων στοιχείων:</w:t>
            </w:r>
          </w:p>
          <w:p w14:paraId="40335678" w14:textId="77777777" w:rsidR="007E1815" w:rsidRPr="00AE4F96" w:rsidRDefault="007E1815" w:rsidP="007E1815">
            <w:pPr>
              <w:pStyle w:val="ListParagraph"/>
              <w:numPr>
                <w:ilvl w:val="0"/>
                <w:numId w:val="9"/>
              </w:numPr>
              <w:spacing w:after="240"/>
              <w:contextualSpacing/>
              <w:jc w:val="both"/>
              <w:rPr>
                <w:rFonts w:ascii="Times New Roman" w:hAnsi="Times New Roman"/>
                <w:sz w:val="24"/>
                <w:lang w:val="el-GR"/>
              </w:rPr>
            </w:pPr>
            <w:r w:rsidRPr="00AE4F96">
              <w:rPr>
                <w:rFonts w:ascii="Times New Roman" w:hAnsi="Times New Roman"/>
                <w:sz w:val="24"/>
                <w:lang w:val="el-GR"/>
              </w:rPr>
              <w:t>πληρωτέα κατά την ημερομηνία συναλλαγής που προκύπτουν από την αγορά χρηματοοικονομικών μέσων, ξένων νομισμάτων και βασικών εμπορευμάτων, τα οποία αναμένεται να διακανονιστούν κατά τον κανονικό κύκλο διακανονισμού ή την περίοδο που συνηθίζεται για τη σχετική ανταλλαγή ή το είδος των συναλλαγών, ή τα οποία δεν έχουν διακανονιστεί αλλά αναμένεται να διακανονιστούν, σύμφωνα με το άρθρο</w:t>
            </w:r>
            <w:r>
              <w:rPr>
                <w:rFonts w:ascii="Times New Roman" w:hAnsi="Times New Roman"/>
                <w:sz w:val="24"/>
              </w:rPr>
              <w:t> </w:t>
            </w:r>
            <w:r w:rsidRPr="00AE4F96">
              <w:rPr>
                <w:rFonts w:ascii="Times New Roman" w:hAnsi="Times New Roman"/>
                <w:sz w:val="24"/>
                <w:lang w:val="el-GR"/>
              </w:rPr>
              <w:t>428ια παράγραφος</w:t>
            </w:r>
            <w:r>
              <w:rPr>
                <w:rFonts w:ascii="Times New Roman" w:hAnsi="Times New Roman"/>
                <w:sz w:val="24"/>
              </w:rPr>
              <w:t> </w:t>
            </w:r>
            <w:r w:rsidRPr="00AE4F96">
              <w:rPr>
                <w:rFonts w:ascii="Times New Roman" w:hAnsi="Times New Roman"/>
                <w:sz w:val="24"/>
                <w:lang w:val="el-GR"/>
              </w:rPr>
              <w:t>3 στοιχείο</w:t>
            </w:r>
            <w:r>
              <w:rPr>
                <w:rFonts w:ascii="Times New Roman" w:hAnsi="Times New Roman"/>
                <w:sz w:val="24"/>
              </w:rPr>
              <w:t> </w:t>
            </w:r>
            <w:r w:rsidRPr="00AE4F96">
              <w:rPr>
                <w:rFonts w:ascii="Times New Roman" w:hAnsi="Times New Roman"/>
                <w:sz w:val="24"/>
                <w:lang w:val="el-GR"/>
              </w:rPr>
              <w:t>α) του ΚΚΑ·</w:t>
            </w:r>
          </w:p>
          <w:p w14:paraId="0C891B87" w14:textId="77777777" w:rsidR="007E1815" w:rsidRPr="00AE4F96" w:rsidRDefault="007E1815" w:rsidP="007E1815">
            <w:pPr>
              <w:pStyle w:val="ListParagraph"/>
              <w:numPr>
                <w:ilvl w:val="0"/>
                <w:numId w:val="9"/>
              </w:numPr>
              <w:spacing w:after="240"/>
              <w:contextualSpacing/>
              <w:jc w:val="both"/>
              <w:rPr>
                <w:rFonts w:ascii="Times New Roman" w:hAnsi="Times New Roman"/>
                <w:sz w:val="24"/>
                <w:lang w:val="el-GR"/>
              </w:rPr>
            </w:pPr>
            <w:r w:rsidRPr="00AE4F96">
              <w:rPr>
                <w:rFonts w:ascii="Times New Roman" w:hAnsi="Times New Roman"/>
                <w:sz w:val="24"/>
                <w:lang w:val="el-GR"/>
              </w:rPr>
              <w:t xml:space="preserve">αναβαλλόμενες φορολογικές υποχρεώσεις, λαμβανομένης υπόψη της πλησιέστερης δυνατής ημερομηνίας κατά την οποία το ποσό τους μπορεί να εισρεύσει ως εναπομένουσα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σύμφωνα με το άρθρο</w:t>
            </w:r>
            <w:r>
              <w:rPr>
                <w:rFonts w:ascii="Times New Roman" w:hAnsi="Times New Roman"/>
                <w:sz w:val="24"/>
              </w:rPr>
              <w:t> </w:t>
            </w:r>
            <w:r w:rsidRPr="00AE4F96">
              <w:rPr>
                <w:rFonts w:ascii="Times New Roman" w:hAnsi="Times New Roman"/>
                <w:sz w:val="24"/>
                <w:lang w:val="el-GR"/>
              </w:rPr>
              <w:t>428ια παράγραφος</w:t>
            </w:r>
            <w:r>
              <w:rPr>
                <w:rFonts w:ascii="Times New Roman" w:hAnsi="Times New Roman"/>
                <w:sz w:val="24"/>
              </w:rPr>
              <w:t> </w:t>
            </w:r>
            <w:r w:rsidRPr="00AE4F96">
              <w:rPr>
                <w:rFonts w:ascii="Times New Roman" w:hAnsi="Times New Roman"/>
                <w:sz w:val="24"/>
                <w:lang w:val="el-GR"/>
              </w:rPr>
              <w:t>2 στοιχείο</w:t>
            </w:r>
            <w:r>
              <w:rPr>
                <w:rFonts w:ascii="Times New Roman" w:hAnsi="Times New Roman"/>
                <w:sz w:val="24"/>
              </w:rPr>
              <w:t> </w:t>
            </w:r>
            <w:r w:rsidRPr="00AE4F96">
              <w:rPr>
                <w:rFonts w:ascii="Times New Roman" w:hAnsi="Times New Roman"/>
                <w:sz w:val="24"/>
                <w:lang w:val="el-GR"/>
              </w:rPr>
              <w:t>α) του ΚΚΑ·</w:t>
            </w:r>
          </w:p>
          <w:p w14:paraId="02F1CD08" w14:textId="77777777" w:rsidR="007E1815" w:rsidRPr="00AE4F96" w:rsidRDefault="007E1815" w:rsidP="007E1815">
            <w:pPr>
              <w:pStyle w:val="ListParagraph"/>
              <w:numPr>
                <w:ilvl w:val="0"/>
                <w:numId w:val="9"/>
              </w:numPr>
              <w:spacing w:after="240"/>
              <w:contextualSpacing/>
              <w:jc w:val="both"/>
              <w:rPr>
                <w:rFonts w:ascii="Times New Roman" w:hAnsi="Times New Roman"/>
                <w:sz w:val="24"/>
                <w:lang w:val="el-GR"/>
              </w:rPr>
            </w:pPr>
            <w:r w:rsidRPr="00AE4F96">
              <w:rPr>
                <w:rFonts w:ascii="Times New Roman" w:hAnsi="Times New Roman"/>
                <w:sz w:val="24"/>
                <w:lang w:val="el-GR"/>
              </w:rPr>
              <w:t xml:space="preserve">δικαιώματα μειοψηφίας, λαμβάνοντας υπόψη τη διάρκεια του μέσου ως εναπομένουσα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σύμφωνα με το άρθρο</w:t>
            </w:r>
            <w:r>
              <w:rPr>
                <w:rFonts w:ascii="Times New Roman" w:hAnsi="Times New Roman"/>
                <w:sz w:val="24"/>
              </w:rPr>
              <w:t> </w:t>
            </w:r>
            <w:r w:rsidRPr="00AE4F96">
              <w:rPr>
                <w:rFonts w:ascii="Times New Roman" w:hAnsi="Times New Roman"/>
                <w:sz w:val="24"/>
                <w:lang w:val="el-GR"/>
              </w:rPr>
              <w:t>428ια παράγραφος</w:t>
            </w:r>
            <w:r>
              <w:rPr>
                <w:rFonts w:ascii="Times New Roman" w:hAnsi="Times New Roman"/>
                <w:sz w:val="24"/>
              </w:rPr>
              <w:t> </w:t>
            </w:r>
            <w:r w:rsidRPr="00AE4F96">
              <w:rPr>
                <w:rFonts w:ascii="Times New Roman" w:hAnsi="Times New Roman"/>
                <w:sz w:val="24"/>
                <w:lang w:val="el-GR"/>
              </w:rPr>
              <w:t>1 στοιχείο</w:t>
            </w:r>
            <w:r>
              <w:rPr>
                <w:rFonts w:ascii="Times New Roman" w:hAnsi="Times New Roman"/>
                <w:sz w:val="24"/>
              </w:rPr>
              <w:t> </w:t>
            </w:r>
            <w:r w:rsidRPr="00AE4F96">
              <w:rPr>
                <w:rFonts w:ascii="Times New Roman" w:hAnsi="Times New Roman"/>
                <w:sz w:val="24"/>
                <w:lang w:val="el-GR"/>
              </w:rPr>
              <w:t>β) του ΚΚΑ· και</w:t>
            </w:r>
          </w:p>
          <w:p w14:paraId="11536E39" w14:textId="77777777" w:rsidR="007E1815" w:rsidRPr="00AE4F96" w:rsidRDefault="007E1815" w:rsidP="007E1815">
            <w:pPr>
              <w:pStyle w:val="ListParagraph"/>
              <w:numPr>
                <w:ilvl w:val="0"/>
                <w:numId w:val="9"/>
              </w:numPr>
              <w:spacing w:after="240"/>
              <w:contextualSpacing/>
              <w:jc w:val="both"/>
              <w:rPr>
                <w:rFonts w:ascii="Times New Roman" w:hAnsi="Times New Roman"/>
                <w:sz w:val="24"/>
                <w:lang w:val="el-GR"/>
              </w:rPr>
            </w:pPr>
            <w:r w:rsidRPr="00AE4F96">
              <w:rPr>
                <w:rFonts w:ascii="Times New Roman" w:hAnsi="Times New Roman"/>
                <w:sz w:val="24"/>
                <w:lang w:val="el-GR"/>
              </w:rPr>
              <w:t xml:space="preserve">άλλες υποχρεώσεις, για παράδειγμα αρνητικές θέσεις και θέσεις ανοικτής </w:t>
            </w:r>
            <w:proofErr w:type="spellStart"/>
            <w:r w:rsidRPr="00AE4F96">
              <w:rPr>
                <w:rFonts w:ascii="Times New Roman" w:hAnsi="Times New Roman"/>
                <w:sz w:val="24"/>
                <w:lang w:val="el-GR"/>
              </w:rPr>
              <w:t>ληκτότητας</w:t>
            </w:r>
            <w:proofErr w:type="spellEnd"/>
            <w:r w:rsidRPr="00AE4F96">
              <w:rPr>
                <w:rFonts w:ascii="Times New Roman" w:hAnsi="Times New Roman"/>
                <w:sz w:val="24"/>
                <w:lang w:val="el-GR"/>
              </w:rPr>
              <w:t>, σύμφωνα με το άρθρο</w:t>
            </w:r>
            <w:r>
              <w:rPr>
                <w:rFonts w:ascii="Times New Roman" w:hAnsi="Times New Roman"/>
                <w:sz w:val="24"/>
              </w:rPr>
              <w:t> </w:t>
            </w:r>
            <w:r w:rsidRPr="00AE4F96">
              <w:rPr>
                <w:rFonts w:ascii="Times New Roman" w:hAnsi="Times New Roman"/>
                <w:sz w:val="24"/>
                <w:lang w:val="el-GR"/>
              </w:rPr>
              <w:t>428ια παράγραφοι</w:t>
            </w:r>
            <w:r>
              <w:rPr>
                <w:rFonts w:ascii="Times New Roman" w:hAnsi="Times New Roman"/>
                <w:sz w:val="24"/>
              </w:rPr>
              <w:t> </w:t>
            </w:r>
            <w:r w:rsidRPr="00AE4F96">
              <w:rPr>
                <w:rFonts w:ascii="Times New Roman" w:hAnsi="Times New Roman"/>
                <w:sz w:val="24"/>
                <w:lang w:val="el-GR"/>
              </w:rPr>
              <w:t>1 και 3 του ΚΚΑ.</w:t>
            </w:r>
          </w:p>
        </w:tc>
      </w:tr>
      <w:tr w:rsidR="007E1815" w:rsidRPr="007F4CC8" w14:paraId="654FDDC1" w14:textId="77777777" w:rsidTr="00D819DE">
        <w:tc>
          <w:tcPr>
            <w:tcW w:w="1355" w:type="dxa"/>
          </w:tcPr>
          <w:p w14:paraId="5C49C82C"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14</w:t>
            </w:r>
          </w:p>
        </w:tc>
        <w:tc>
          <w:tcPr>
            <w:tcW w:w="7705" w:type="dxa"/>
          </w:tcPr>
          <w:p w14:paraId="159128F6"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Συνολική διαθέσιμη σταθερή χρηματοδότηση (</w:t>
            </w:r>
            <w:r>
              <w:rPr>
                <w:rFonts w:ascii="Times New Roman" w:hAnsi="Times New Roman"/>
                <w:b/>
                <w:sz w:val="24"/>
              </w:rPr>
              <w:t>ASF</w:t>
            </w:r>
            <w:r w:rsidRPr="00AE4F96">
              <w:rPr>
                <w:rFonts w:ascii="Times New Roman" w:hAnsi="Times New Roman"/>
                <w:sz w:val="24"/>
                <w:lang w:val="el-GR"/>
              </w:rPr>
              <w:t>)</w:t>
            </w:r>
          </w:p>
          <w:p w14:paraId="7CDD2B32" w14:textId="77777777" w:rsidR="007E1815" w:rsidRPr="00AE4F96" w:rsidRDefault="007E1815" w:rsidP="00D819DE">
            <w:pPr>
              <w:pStyle w:val="TableParagraph"/>
              <w:spacing w:after="240"/>
              <w:jc w:val="both"/>
              <w:rPr>
                <w:rFonts w:ascii="Times New Roman" w:eastAsia="Times New Roman" w:hAnsi="Times New Roman"/>
                <w:sz w:val="24"/>
                <w:szCs w:val="24"/>
                <w:lang w:val="el-GR"/>
              </w:rPr>
            </w:pPr>
            <w:r w:rsidRPr="00AE4F96">
              <w:rPr>
                <w:rFonts w:ascii="Times New Roman" w:hAnsi="Times New Roman"/>
                <w:sz w:val="24"/>
                <w:lang w:val="el-GR"/>
              </w:rPr>
              <w:t>Έκτο μέρος τίτλος</w:t>
            </w:r>
            <w:r>
              <w:rPr>
                <w:rFonts w:ascii="Times New Roman" w:hAnsi="Times New Roman"/>
                <w:sz w:val="24"/>
              </w:rPr>
              <w:t> IV</w:t>
            </w:r>
            <w:r w:rsidRPr="00AE4F96">
              <w:rPr>
                <w:rFonts w:ascii="Times New Roman" w:hAnsi="Times New Roman"/>
                <w:sz w:val="24"/>
                <w:lang w:val="el-GR"/>
              </w:rPr>
              <w:t xml:space="preserve"> κεφάλαιο</w:t>
            </w:r>
            <w:r>
              <w:rPr>
                <w:rFonts w:ascii="Times New Roman" w:hAnsi="Times New Roman"/>
                <w:sz w:val="24"/>
              </w:rPr>
              <w:t> </w:t>
            </w:r>
            <w:r w:rsidRPr="00AE4F96">
              <w:rPr>
                <w:rFonts w:ascii="Times New Roman" w:hAnsi="Times New Roman"/>
                <w:sz w:val="24"/>
                <w:lang w:val="el-GR"/>
              </w:rPr>
              <w:t>3 του ΚΚΑ</w:t>
            </w:r>
          </w:p>
          <w:p w14:paraId="4BCF2875" w14:textId="77777777" w:rsidR="007E1815" w:rsidRPr="00AE4F96" w:rsidRDefault="007E1815" w:rsidP="00D819DE">
            <w:pPr>
              <w:pStyle w:val="TableParagraph"/>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το σύνολο των στοιχείων που παρέχουν διαθέσιμη σταθερή χρηματοδότηση σύμφωνα με το έκτο μέρος τίτλος</w:t>
            </w:r>
            <w:r>
              <w:rPr>
                <w:rFonts w:ascii="Times New Roman" w:hAnsi="Times New Roman"/>
                <w:sz w:val="24"/>
              </w:rPr>
              <w:t> IV</w:t>
            </w:r>
            <w:r w:rsidRPr="00AE4F96">
              <w:rPr>
                <w:rFonts w:ascii="Times New Roman" w:hAnsi="Times New Roman"/>
                <w:sz w:val="24"/>
                <w:lang w:val="el-GR"/>
              </w:rPr>
              <w:t xml:space="preserve"> κεφάλαιο</w:t>
            </w:r>
            <w:r>
              <w:rPr>
                <w:rFonts w:ascii="Times New Roman" w:hAnsi="Times New Roman"/>
                <w:sz w:val="24"/>
              </w:rPr>
              <w:t> </w:t>
            </w:r>
            <w:r w:rsidRPr="00AE4F96">
              <w:rPr>
                <w:rFonts w:ascii="Times New Roman" w:hAnsi="Times New Roman"/>
                <w:sz w:val="24"/>
                <w:lang w:val="el-GR"/>
              </w:rPr>
              <w:t>3 του ΚΚΑ (άθροισμα των ποσών στις γραμμές</w:t>
            </w:r>
            <w:r>
              <w:rPr>
                <w:rFonts w:ascii="Times New Roman" w:hAnsi="Times New Roman"/>
                <w:sz w:val="24"/>
              </w:rPr>
              <w:t> </w:t>
            </w:r>
            <w:r w:rsidRPr="00AE4F96">
              <w:rPr>
                <w:rFonts w:ascii="Times New Roman" w:hAnsi="Times New Roman"/>
                <w:sz w:val="24"/>
                <w:lang w:val="el-GR"/>
              </w:rPr>
              <w:t>1, 4, 7, 10 και 11 του παρόντος υποδείγματος).</w:t>
            </w:r>
          </w:p>
        </w:tc>
      </w:tr>
      <w:tr w:rsidR="007E1815" w:rsidRPr="007F4CC8" w14:paraId="5C44ED41" w14:textId="77777777" w:rsidTr="00D819DE">
        <w:trPr>
          <w:trHeight w:val="567"/>
        </w:trPr>
        <w:tc>
          <w:tcPr>
            <w:tcW w:w="1355" w:type="dxa"/>
            <w:shd w:val="clear" w:color="auto" w:fill="D0CECE"/>
          </w:tcPr>
          <w:p w14:paraId="43FB195E" w14:textId="77777777" w:rsidR="007E1815" w:rsidRPr="00AE4F96" w:rsidRDefault="007E1815" w:rsidP="00D819DE">
            <w:pPr>
              <w:spacing w:after="240"/>
              <w:rPr>
                <w:rFonts w:ascii="Times New Roman" w:hAnsi="Times New Roman"/>
                <w:color w:val="000000" w:themeColor="text1"/>
                <w:sz w:val="24"/>
                <w:lang w:val="el-GR"/>
              </w:rPr>
            </w:pPr>
          </w:p>
        </w:tc>
        <w:tc>
          <w:tcPr>
            <w:tcW w:w="7705" w:type="dxa"/>
            <w:shd w:val="clear" w:color="auto" w:fill="D0CECE"/>
          </w:tcPr>
          <w:p w14:paraId="13090657" w14:textId="77777777" w:rsidR="007E1815" w:rsidRPr="00AE4F96" w:rsidRDefault="007E1815" w:rsidP="00D819DE">
            <w:pPr>
              <w:spacing w:after="240"/>
              <w:rPr>
                <w:rFonts w:ascii="Times New Roman" w:hAnsi="Times New Roman"/>
                <w:b/>
                <w:color w:val="000000" w:themeColor="text1"/>
                <w:sz w:val="24"/>
                <w:lang w:val="el-GR"/>
              </w:rPr>
            </w:pPr>
            <w:r w:rsidRPr="00AE4F96">
              <w:rPr>
                <w:rFonts w:ascii="Times New Roman" w:hAnsi="Times New Roman"/>
                <w:b/>
                <w:color w:val="000000" w:themeColor="text1"/>
                <w:sz w:val="24"/>
                <w:lang w:val="el-GR"/>
              </w:rPr>
              <w:t>Στοιχεία απαιτούμενης σταθερής χρηματοδότησης (</w:t>
            </w:r>
            <w:r>
              <w:rPr>
                <w:rFonts w:ascii="Times New Roman" w:hAnsi="Times New Roman"/>
                <w:b/>
                <w:color w:val="000000" w:themeColor="text1"/>
                <w:sz w:val="24"/>
              </w:rPr>
              <w:t>RSF</w:t>
            </w:r>
            <w:r w:rsidRPr="00AE4F96">
              <w:rPr>
                <w:rFonts w:ascii="Times New Roman" w:hAnsi="Times New Roman"/>
                <w:b/>
                <w:color w:val="000000" w:themeColor="text1"/>
                <w:sz w:val="24"/>
                <w:lang w:val="el-GR"/>
              </w:rPr>
              <w:t>)</w:t>
            </w:r>
          </w:p>
        </w:tc>
      </w:tr>
      <w:tr w:rsidR="007E1815" w:rsidRPr="007F4CC8" w14:paraId="5486139E" w14:textId="77777777" w:rsidTr="00D819DE">
        <w:tc>
          <w:tcPr>
            <w:tcW w:w="1355" w:type="dxa"/>
          </w:tcPr>
          <w:p w14:paraId="5B4EB28D"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15</w:t>
            </w:r>
          </w:p>
        </w:tc>
        <w:tc>
          <w:tcPr>
            <w:tcW w:w="7705" w:type="dxa"/>
          </w:tcPr>
          <w:p w14:paraId="7524A030"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Συνολικά υψηλής ποιότητας ρευστά στοιχεία ενεργητικού (</w:t>
            </w:r>
            <w:r>
              <w:rPr>
                <w:rFonts w:ascii="Times New Roman" w:hAnsi="Times New Roman"/>
                <w:b/>
                <w:sz w:val="24"/>
              </w:rPr>
              <w:t>HQLA</w:t>
            </w:r>
            <w:r w:rsidRPr="00AE4F96">
              <w:rPr>
                <w:rFonts w:ascii="Times New Roman" w:hAnsi="Times New Roman"/>
                <w:b/>
                <w:sz w:val="24"/>
                <w:lang w:val="el-GR"/>
              </w:rPr>
              <w:t>)</w:t>
            </w:r>
          </w:p>
          <w:p w14:paraId="192250E5"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περιλαμβάνουν επίσης εδώ βεβαρημένα και μη βεβαρημένα υψηλής ποιότητας ρευστά στοιχεία ενεργητικού σύμφωνα με τον κατ’</w:t>
            </w:r>
            <w:r>
              <w:rPr>
                <w:rFonts w:ascii="Times New Roman" w:hAnsi="Times New Roman"/>
                <w:sz w:val="24"/>
              </w:rPr>
              <w:t> </w:t>
            </w:r>
            <w:r w:rsidRPr="00AE4F96">
              <w:rPr>
                <w:rFonts w:ascii="Times New Roman" w:hAnsi="Times New Roman"/>
                <w:sz w:val="24"/>
                <w:lang w:val="el-GR"/>
              </w:rPr>
              <w:t>εξουσιοδότηση κανονισμό (ΕΕ)</w:t>
            </w:r>
            <w:r>
              <w:rPr>
                <w:rFonts w:ascii="Times New Roman" w:hAnsi="Times New Roman"/>
                <w:sz w:val="24"/>
              </w:rPr>
              <w:t> </w:t>
            </w:r>
            <w:r w:rsidRPr="00AE4F96">
              <w:rPr>
                <w:rFonts w:ascii="Times New Roman" w:hAnsi="Times New Roman"/>
                <w:sz w:val="24"/>
                <w:lang w:val="el-GR"/>
              </w:rPr>
              <w:t>2015/61 της Επιτροπής, ανεξαρτήτως του εάν συμμορφώνονται με τις λειτουργικές απαιτήσεις που αναφέρονται στο άρθρο</w:t>
            </w:r>
            <w:r>
              <w:rPr>
                <w:rFonts w:ascii="Times New Roman" w:hAnsi="Times New Roman"/>
                <w:sz w:val="24"/>
              </w:rPr>
              <w:t> </w:t>
            </w:r>
            <w:r w:rsidRPr="00AE4F96">
              <w:rPr>
                <w:rFonts w:ascii="Times New Roman" w:hAnsi="Times New Roman"/>
                <w:sz w:val="24"/>
                <w:lang w:val="el-GR"/>
              </w:rPr>
              <w:t>8 του εν λόγω κατ’</w:t>
            </w:r>
            <w:r>
              <w:rPr>
                <w:rFonts w:ascii="Times New Roman" w:hAnsi="Times New Roman"/>
                <w:sz w:val="24"/>
              </w:rPr>
              <w:t> </w:t>
            </w:r>
            <w:r w:rsidRPr="00AE4F96">
              <w:rPr>
                <w:rFonts w:ascii="Times New Roman" w:hAnsi="Times New Roman"/>
                <w:sz w:val="24"/>
                <w:lang w:val="el-GR"/>
              </w:rPr>
              <w:t>εξουσιοδότηση κανονισμού, σύμφωνα με τα άρθρα</w:t>
            </w:r>
            <w:r>
              <w:rPr>
                <w:rFonts w:ascii="Times New Roman" w:hAnsi="Times New Roman"/>
                <w:sz w:val="24"/>
              </w:rPr>
              <w:t> </w:t>
            </w:r>
            <w:r w:rsidRPr="00AE4F96">
              <w:rPr>
                <w:rFonts w:ascii="Times New Roman" w:hAnsi="Times New Roman"/>
                <w:sz w:val="24"/>
                <w:lang w:val="el-GR"/>
              </w:rPr>
              <w:t>428ιη έως 428κζ του ΚΚΑ.</w:t>
            </w:r>
          </w:p>
        </w:tc>
      </w:tr>
      <w:tr w:rsidR="007E1815" w:rsidRPr="007F4CC8" w14:paraId="1652C25E" w14:textId="77777777" w:rsidTr="00D819DE">
        <w:tc>
          <w:tcPr>
            <w:tcW w:w="1355" w:type="dxa"/>
          </w:tcPr>
          <w:p w14:paraId="36AB779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EU-15α</w:t>
            </w:r>
          </w:p>
        </w:tc>
        <w:tc>
          <w:tcPr>
            <w:tcW w:w="7705" w:type="dxa"/>
          </w:tcPr>
          <w:p w14:paraId="6B183BAA"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 xml:space="preserve">Στοιχεία ενεργητικού βεβαρημένα για εναπομένουσα </w:t>
            </w:r>
            <w:proofErr w:type="spellStart"/>
            <w:r w:rsidRPr="00AE4F96">
              <w:rPr>
                <w:rFonts w:ascii="Times New Roman" w:hAnsi="Times New Roman"/>
                <w:b/>
                <w:sz w:val="24"/>
                <w:lang w:val="el-GR"/>
              </w:rPr>
              <w:t>ληκτότητα</w:t>
            </w:r>
            <w:proofErr w:type="spellEnd"/>
            <w:r w:rsidRPr="00AE4F96">
              <w:rPr>
                <w:rFonts w:ascii="Times New Roman" w:hAnsi="Times New Roman"/>
                <w:b/>
                <w:sz w:val="24"/>
                <w:lang w:val="el-GR"/>
              </w:rPr>
              <w:t xml:space="preserve"> ενός έτους τουλάχιστον σε συνολικά στοιχεία κάλυψης</w:t>
            </w:r>
          </w:p>
          <w:p w14:paraId="1BB5D81B"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428λγ στοιχείο</w:t>
            </w:r>
            <w:r>
              <w:rPr>
                <w:rFonts w:ascii="Times New Roman" w:hAnsi="Times New Roman"/>
                <w:sz w:val="24"/>
              </w:rPr>
              <w:t> </w:t>
            </w:r>
            <w:r w:rsidRPr="00AE4F96">
              <w:rPr>
                <w:rFonts w:ascii="Times New Roman" w:hAnsi="Times New Roman"/>
                <w:sz w:val="24"/>
                <w:lang w:val="el-GR"/>
              </w:rPr>
              <w:t>η) του ΚΚΑ</w:t>
            </w:r>
          </w:p>
          <w:p w14:paraId="2A30344A" w14:textId="77777777" w:rsidR="007E1815" w:rsidRPr="00AE4F96" w:rsidRDefault="007E1815" w:rsidP="00D819DE">
            <w:pPr>
              <w:pStyle w:val="TableParagraph"/>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τα οφειλόμενα ποσά από δάνεια που δεν είναι σε αθέτηση σύμφωνα με το άρθρο</w:t>
            </w:r>
            <w:r>
              <w:rPr>
                <w:rFonts w:ascii="Times New Roman" w:hAnsi="Times New Roman"/>
                <w:sz w:val="24"/>
              </w:rPr>
              <w:t> </w:t>
            </w:r>
            <w:r w:rsidRPr="00AE4F96">
              <w:rPr>
                <w:rFonts w:ascii="Times New Roman" w:hAnsi="Times New Roman"/>
                <w:sz w:val="24"/>
                <w:lang w:val="el-GR"/>
              </w:rPr>
              <w:t xml:space="preserve">178 του ΚΚΑ και ρευστά στοιχεία ενεργητικού τα οποία είναι βεβαρημένα για εναπομένουσα </w:t>
            </w:r>
            <w:proofErr w:type="spellStart"/>
            <w:r w:rsidRPr="00AE4F96">
              <w:rPr>
                <w:rFonts w:ascii="Times New Roman" w:hAnsi="Times New Roman"/>
                <w:sz w:val="24"/>
                <w:lang w:val="el-GR"/>
              </w:rPr>
              <w:t>ληκτότητα</w:t>
            </w:r>
            <w:proofErr w:type="spellEnd"/>
            <w:r w:rsidRPr="00AE4F96">
              <w:rPr>
                <w:rFonts w:ascii="Times New Roman" w:hAnsi="Times New Roman"/>
                <w:sz w:val="24"/>
                <w:lang w:val="el-GR"/>
              </w:rPr>
              <w:t xml:space="preserve"> ενός έτους τουλάχιστον σε συνολικά στοιχεία κάλυψης με χρηματοδότηση από καλυμμένα ομόλογα κατά τα προβλεπόμενα στο άρθρο</w:t>
            </w:r>
            <w:r>
              <w:rPr>
                <w:rFonts w:ascii="Times New Roman" w:hAnsi="Times New Roman"/>
                <w:sz w:val="24"/>
              </w:rPr>
              <w:t> </w:t>
            </w:r>
            <w:r w:rsidRPr="00AE4F96">
              <w:rPr>
                <w:rFonts w:ascii="Times New Roman" w:hAnsi="Times New Roman"/>
                <w:sz w:val="24"/>
                <w:lang w:val="el-GR"/>
              </w:rPr>
              <w:t>52 παράγραφος</w:t>
            </w:r>
            <w:r>
              <w:rPr>
                <w:rFonts w:ascii="Times New Roman" w:hAnsi="Times New Roman"/>
                <w:sz w:val="24"/>
              </w:rPr>
              <w:t> </w:t>
            </w:r>
            <w:r w:rsidRPr="00AE4F96">
              <w:rPr>
                <w:rFonts w:ascii="Times New Roman" w:hAnsi="Times New Roman"/>
                <w:sz w:val="24"/>
                <w:lang w:val="el-GR"/>
              </w:rPr>
              <w:t>4 της οδηγίας</w:t>
            </w:r>
            <w:r>
              <w:rPr>
                <w:rFonts w:ascii="Times New Roman" w:hAnsi="Times New Roman"/>
                <w:sz w:val="24"/>
              </w:rPr>
              <w:t> </w:t>
            </w:r>
            <w:r w:rsidRPr="00AE4F96">
              <w:rPr>
                <w:rFonts w:ascii="Times New Roman" w:hAnsi="Times New Roman"/>
                <w:sz w:val="24"/>
                <w:lang w:val="el-GR"/>
              </w:rPr>
              <w:t>2009/65/ΕΚ</w:t>
            </w:r>
            <w:r w:rsidRPr="007F4CC8">
              <w:rPr>
                <w:rStyle w:val="FootnoteReference"/>
                <w:rFonts w:ascii="Times New Roman" w:eastAsia="Times New Roman" w:hAnsi="Times New Roman"/>
                <w:sz w:val="24"/>
                <w:szCs w:val="24"/>
                <w:lang w:eastAsia="sv-SE"/>
              </w:rPr>
              <w:footnoteReference w:id="7"/>
            </w:r>
            <w:r w:rsidRPr="00AE4F96">
              <w:rPr>
                <w:rFonts w:ascii="Times New Roman" w:hAnsi="Times New Roman"/>
                <w:sz w:val="24"/>
                <w:lang w:val="el-GR"/>
              </w:rPr>
              <w:t xml:space="preserve"> ή από καλυμμένα ομόλογα που πληρούν τις απαιτήσεις </w:t>
            </w:r>
            <w:proofErr w:type="spellStart"/>
            <w:r w:rsidRPr="00AE4F96">
              <w:rPr>
                <w:rFonts w:ascii="Times New Roman" w:hAnsi="Times New Roman"/>
                <w:sz w:val="24"/>
                <w:lang w:val="el-GR"/>
              </w:rPr>
              <w:t>επιλεξιμότητας</w:t>
            </w:r>
            <w:proofErr w:type="spellEnd"/>
            <w:r w:rsidRPr="00AE4F96">
              <w:rPr>
                <w:rFonts w:ascii="Times New Roman" w:hAnsi="Times New Roman"/>
                <w:sz w:val="24"/>
                <w:lang w:val="el-GR"/>
              </w:rPr>
              <w:t xml:space="preserve"> για τη μεταχείριση που καθορίζεται στο άρθρο</w:t>
            </w:r>
            <w:r>
              <w:rPr>
                <w:rFonts w:ascii="Times New Roman" w:hAnsi="Times New Roman"/>
                <w:sz w:val="24"/>
              </w:rPr>
              <w:t> </w:t>
            </w:r>
            <w:r w:rsidRPr="00AE4F96">
              <w:rPr>
                <w:rFonts w:ascii="Times New Roman" w:hAnsi="Times New Roman"/>
                <w:sz w:val="24"/>
                <w:lang w:val="el-GR"/>
              </w:rPr>
              <w:t>129 παράγραφος</w:t>
            </w:r>
            <w:r>
              <w:rPr>
                <w:rFonts w:ascii="Times New Roman" w:hAnsi="Times New Roman"/>
                <w:sz w:val="24"/>
              </w:rPr>
              <w:t> </w:t>
            </w:r>
            <w:r w:rsidRPr="00AE4F96">
              <w:rPr>
                <w:rFonts w:ascii="Times New Roman" w:hAnsi="Times New Roman"/>
                <w:sz w:val="24"/>
                <w:lang w:val="el-GR"/>
              </w:rPr>
              <w:t>4 ή 5 του ΚΚΑ.</w:t>
            </w:r>
          </w:p>
        </w:tc>
      </w:tr>
      <w:tr w:rsidR="007E1815" w:rsidRPr="007F4CC8" w14:paraId="2122B833" w14:textId="77777777" w:rsidTr="00D819DE">
        <w:tc>
          <w:tcPr>
            <w:tcW w:w="1355" w:type="dxa"/>
          </w:tcPr>
          <w:p w14:paraId="7FF74E8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16</w:t>
            </w:r>
          </w:p>
        </w:tc>
        <w:tc>
          <w:tcPr>
            <w:tcW w:w="7705" w:type="dxa"/>
          </w:tcPr>
          <w:p w14:paraId="4D8DCFEA"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Καταθέσεις που τηρούνται σε άλλα χρηματοπιστωτικά ιδρύματα για λειτουργικούς σκοπούς</w:t>
            </w:r>
          </w:p>
          <w:p w14:paraId="546E2989"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428λ στοιχείο</w:t>
            </w:r>
            <w:r>
              <w:rPr>
                <w:rFonts w:ascii="Times New Roman" w:hAnsi="Times New Roman"/>
                <w:sz w:val="24"/>
              </w:rPr>
              <w:t> </w:t>
            </w:r>
            <w:r w:rsidRPr="00AE4F96">
              <w:rPr>
                <w:rFonts w:ascii="Times New Roman" w:hAnsi="Times New Roman"/>
                <w:sz w:val="24"/>
                <w:lang w:val="el-GR"/>
              </w:rPr>
              <w:t>β) του ΚΚΑ</w:t>
            </w:r>
          </w:p>
          <w:p w14:paraId="213C4B55"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τα οφειλόμενα ποσά από δάνεια που δεν είναι σε αθέτηση σύμφωνα με το άρθρο</w:t>
            </w:r>
            <w:r>
              <w:rPr>
                <w:rFonts w:ascii="Times New Roman" w:hAnsi="Times New Roman"/>
                <w:sz w:val="24"/>
              </w:rPr>
              <w:t> </w:t>
            </w:r>
            <w:r w:rsidRPr="00AE4F96">
              <w:rPr>
                <w:rFonts w:ascii="Times New Roman" w:hAnsi="Times New Roman"/>
                <w:sz w:val="24"/>
                <w:lang w:val="el-GR"/>
              </w:rPr>
              <w:t>178 του ΚΚΑ, τα οποία αποτελούν λειτουργικές καταθέσεις σύμφωνα με τον κατ’</w:t>
            </w:r>
            <w:r>
              <w:rPr>
                <w:rFonts w:ascii="Times New Roman" w:hAnsi="Times New Roman"/>
                <w:sz w:val="24"/>
              </w:rPr>
              <w:t> </w:t>
            </w:r>
            <w:r w:rsidRPr="00AE4F96">
              <w:rPr>
                <w:rFonts w:ascii="Times New Roman" w:hAnsi="Times New Roman"/>
                <w:sz w:val="24"/>
                <w:lang w:val="el-GR"/>
              </w:rPr>
              <w:t>εξουσιοδότηση κανονισμό (ΕΕ)</w:t>
            </w:r>
            <w:r>
              <w:rPr>
                <w:rFonts w:ascii="Times New Roman" w:hAnsi="Times New Roman"/>
                <w:sz w:val="24"/>
              </w:rPr>
              <w:t> </w:t>
            </w:r>
            <w:r w:rsidRPr="00AE4F96">
              <w:rPr>
                <w:rFonts w:ascii="Times New Roman" w:hAnsi="Times New Roman"/>
                <w:sz w:val="24"/>
                <w:lang w:val="el-GR"/>
              </w:rPr>
              <w:t>2015/61 της Επιτροπής και είναι απαραίτητα για την παροχή λειτουργικών υπηρεσιών.</w:t>
            </w:r>
          </w:p>
        </w:tc>
      </w:tr>
      <w:tr w:rsidR="007E1815" w:rsidRPr="007F4CC8" w14:paraId="51365A88" w14:textId="77777777" w:rsidTr="00D819DE">
        <w:tc>
          <w:tcPr>
            <w:tcW w:w="1355" w:type="dxa"/>
          </w:tcPr>
          <w:p w14:paraId="4C013878"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17</w:t>
            </w:r>
          </w:p>
        </w:tc>
        <w:tc>
          <w:tcPr>
            <w:tcW w:w="7705" w:type="dxa"/>
          </w:tcPr>
          <w:p w14:paraId="65E0396B"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Εξυπηρετούμενα δάνεια και τίτλοι:</w:t>
            </w:r>
          </w:p>
          <w:p w14:paraId="6607B84D"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το άθροισμα των ποσών στις γραμμές</w:t>
            </w:r>
            <w:r>
              <w:rPr>
                <w:rFonts w:ascii="Times New Roman" w:hAnsi="Times New Roman"/>
                <w:sz w:val="24"/>
              </w:rPr>
              <w:t> </w:t>
            </w:r>
            <w:r w:rsidRPr="00AE4F96">
              <w:rPr>
                <w:rFonts w:ascii="Times New Roman" w:hAnsi="Times New Roman"/>
                <w:sz w:val="24"/>
                <w:lang w:val="el-GR"/>
              </w:rPr>
              <w:t>18, 19, 20, 22 και</w:t>
            </w:r>
            <w:r>
              <w:rPr>
                <w:rFonts w:ascii="Times New Roman" w:hAnsi="Times New Roman"/>
                <w:sz w:val="24"/>
              </w:rPr>
              <w:t> </w:t>
            </w:r>
            <w:r w:rsidRPr="00AE4F96">
              <w:rPr>
                <w:rFonts w:ascii="Times New Roman" w:hAnsi="Times New Roman"/>
                <w:sz w:val="24"/>
                <w:lang w:val="el-GR"/>
              </w:rPr>
              <w:t>24 του παρόντος υποδείγματος.</w:t>
            </w:r>
          </w:p>
        </w:tc>
      </w:tr>
      <w:tr w:rsidR="007E1815" w:rsidRPr="007F4CC8" w14:paraId="4BAAFBF3" w14:textId="77777777" w:rsidTr="00D819DE">
        <w:tc>
          <w:tcPr>
            <w:tcW w:w="1355" w:type="dxa"/>
          </w:tcPr>
          <w:p w14:paraId="2D3BF73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18</w:t>
            </w:r>
          </w:p>
        </w:tc>
        <w:tc>
          <w:tcPr>
            <w:tcW w:w="7705" w:type="dxa"/>
          </w:tcPr>
          <w:p w14:paraId="7087AA5B"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 xml:space="preserve">Συναλλαγές χρηματοδότησης εξυπηρετούμενων τίτλων με χρηματοπιστωτικούς πελάτες, εξασφαλισμένων με επιπέδου 1 </w:t>
            </w:r>
            <w:r>
              <w:rPr>
                <w:rFonts w:ascii="Times New Roman" w:hAnsi="Times New Roman"/>
                <w:b/>
                <w:sz w:val="24"/>
              </w:rPr>
              <w:t>HQLA</w:t>
            </w:r>
            <w:r w:rsidRPr="00AE4F96">
              <w:rPr>
                <w:rFonts w:ascii="Times New Roman" w:hAnsi="Times New Roman"/>
                <w:b/>
                <w:sz w:val="24"/>
                <w:lang w:val="el-GR"/>
              </w:rPr>
              <w:t xml:space="preserve"> που υπόκεινται σε 0</w:t>
            </w:r>
            <w:r>
              <w:rPr>
                <w:rFonts w:ascii="Times New Roman" w:hAnsi="Times New Roman"/>
                <w:b/>
                <w:sz w:val="24"/>
              </w:rPr>
              <w:t> </w:t>
            </w:r>
            <w:r w:rsidRPr="00AE4F96">
              <w:rPr>
                <w:rFonts w:ascii="Times New Roman" w:hAnsi="Times New Roman"/>
                <w:b/>
                <w:sz w:val="24"/>
                <w:lang w:val="el-GR"/>
              </w:rPr>
              <w:t>% περικοπή επί της αξίας</w:t>
            </w:r>
          </w:p>
          <w:p w14:paraId="1F9F59CD" w14:textId="77777777" w:rsidR="007E1815" w:rsidRPr="00AE4F96" w:rsidRDefault="007E1815" w:rsidP="00D819DE">
            <w:pPr>
              <w:spacing w:after="240"/>
              <w:jc w:val="both"/>
              <w:rPr>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428ε, άρθρο</w:t>
            </w:r>
            <w:r>
              <w:rPr>
                <w:rFonts w:ascii="Times New Roman" w:hAnsi="Times New Roman"/>
                <w:sz w:val="24"/>
              </w:rPr>
              <w:t> </w:t>
            </w:r>
            <w:r w:rsidRPr="00AE4F96">
              <w:rPr>
                <w:rFonts w:ascii="Times New Roman" w:hAnsi="Times New Roman"/>
                <w:sz w:val="24"/>
                <w:lang w:val="el-GR"/>
              </w:rPr>
              <w:t>428ιη παράγραφος</w:t>
            </w:r>
            <w:r>
              <w:rPr>
                <w:rFonts w:ascii="Times New Roman" w:hAnsi="Times New Roman"/>
                <w:sz w:val="24"/>
              </w:rPr>
              <w:t> </w:t>
            </w:r>
            <w:r w:rsidRPr="00AE4F96">
              <w:rPr>
                <w:rFonts w:ascii="Times New Roman" w:hAnsi="Times New Roman"/>
                <w:sz w:val="24"/>
                <w:lang w:val="el-GR"/>
              </w:rPr>
              <w:t>1 στοιχείο ζ) και άρθρο</w:t>
            </w:r>
            <w:r>
              <w:rPr>
                <w:rFonts w:ascii="Times New Roman" w:hAnsi="Times New Roman"/>
                <w:sz w:val="24"/>
              </w:rPr>
              <w:t> </w:t>
            </w:r>
            <w:r w:rsidRPr="00AE4F96">
              <w:rPr>
                <w:rFonts w:ascii="Times New Roman" w:hAnsi="Times New Roman"/>
                <w:sz w:val="24"/>
                <w:lang w:val="el-GR"/>
              </w:rPr>
              <w:t>428ιθ παράγραφος</w:t>
            </w:r>
            <w:r>
              <w:rPr>
                <w:rFonts w:ascii="Times New Roman" w:hAnsi="Times New Roman"/>
                <w:sz w:val="24"/>
              </w:rPr>
              <w:t> </w:t>
            </w:r>
            <w:r w:rsidRPr="00AE4F96">
              <w:rPr>
                <w:rFonts w:ascii="Times New Roman" w:hAnsi="Times New Roman"/>
                <w:sz w:val="24"/>
                <w:lang w:val="el-GR"/>
              </w:rPr>
              <w:t>1 στοιχείο</w:t>
            </w:r>
            <w:r>
              <w:rPr>
                <w:rFonts w:ascii="Times New Roman" w:hAnsi="Times New Roman"/>
                <w:sz w:val="24"/>
              </w:rPr>
              <w:t> </w:t>
            </w:r>
            <w:r w:rsidRPr="00AE4F96">
              <w:rPr>
                <w:rFonts w:ascii="Times New Roman" w:hAnsi="Times New Roman"/>
                <w:sz w:val="24"/>
                <w:lang w:val="el-GR"/>
              </w:rPr>
              <w:t>β) του ΚΚΑ</w:t>
            </w:r>
          </w:p>
          <w:p w14:paraId="3F44C0F3"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 xml:space="preserve">Τα ιδρύματα δημοσιοποιούν εδώ τα οφειλόμενα ποσά από τίτλους χρηματοδότησης συναλλαγών που δεν είναι σε αθέτηση σύμφωνα με το </w:t>
            </w:r>
            <w:r w:rsidRPr="00AE4F96">
              <w:rPr>
                <w:rFonts w:ascii="Times New Roman" w:hAnsi="Times New Roman"/>
                <w:sz w:val="24"/>
                <w:lang w:val="el-GR"/>
              </w:rPr>
              <w:lastRenderedPageBreak/>
              <w:t>άρθρο</w:t>
            </w:r>
            <w:r>
              <w:rPr>
                <w:rFonts w:ascii="Times New Roman" w:hAnsi="Times New Roman"/>
                <w:sz w:val="24"/>
              </w:rPr>
              <w:t> </w:t>
            </w:r>
            <w:r w:rsidRPr="00AE4F96">
              <w:rPr>
                <w:rFonts w:ascii="Times New Roman" w:hAnsi="Times New Roman"/>
                <w:sz w:val="24"/>
                <w:lang w:val="el-GR"/>
              </w:rPr>
              <w:t>178 του ΚΚΑ, με χρηματοπιστωτικούς πελάτες, και εξασφαλισμένους με επιπέδου 1 στοιχεία ενεργητικού που είναι επιλέξιμα για 0</w:t>
            </w:r>
            <w:r>
              <w:rPr>
                <w:rFonts w:ascii="Times New Roman" w:hAnsi="Times New Roman"/>
                <w:sz w:val="24"/>
              </w:rPr>
              <w:t> </w:t>
            </w:r>
            <w:r w:rsidRPr="00AE4F96">
              <w:rPr>
                <w:rFonts w:ascii="Times New Roman" w:hAnsi="Times New Roman"/>
                <w:sz w:val="24"/>
                <w:lang w:val="el-GR"/>
              </w:rPr>
              <w:t>% περικοπή επί της αξίας σύμφωνα με τον κατ’</w:t>
            </w:r>
            <w:r>
              <w:rPr>
                <w:rFonts w:ascii="Times New Roman" w:hAnsi="Times New Roman"/>
                <w:sz w:val="24"/>
              </w:rPr>
              <w:t> </w:t>
            </w:r>
            <w:r w:rsidRPr="00AE4F96">
              <w:rPr>
                <w:rFonts w:ascii="Times New Roman" w:hAnsi="Times New Roman"/>
                <w:sz w:val="24"/>
                <w:lang w:val="el-GR"/>
              </w:rPr>
              <w:t>εξουσιοδότηση κανονισμό (ΕΕ)</w:t>
            </w:r>
            <w:r>
              <w:rPr>
                <w:rFonts w:ascii="Times New Roman" w:hAnsi="Times New Roman"/>
                <w:sz w:val="24"/>
              </w:rPr>
              <w:t> </w:t>
            </w:r>
            <w:r w:rsidRPr="00AE4F96">
              <w:rPr>
                <w:rFonts w:ascii="Times New Roman" w:hAnsi="Times New Roman"/>
                <w:sz w:val="24"/>
                <w:lang w:val="el-GR"/>
              </w:rPr>
              <w:t>2015/61 της Επιτροπής.</w:t>
            </w:r>
          </w:p>
        </w:tc>
      </w:tr>
      <w:tr w:rsidR="007E1815" w:rsidRPr="007F4CC8" w14:paraId="3C902540" w14:textId="77777777" w:rsidTr="00D819DE">
        <w:tc>
          <w:tcPr>
            <w:tcW w:w="1355" w:type="dxa"/>
          </w:tcPr>
          <w:p w14:paraId="799072AA"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19</w:t>
            </w:r>
          </w:p>
        </w:tc>
        <w:tc>
          <w:tcPr>
            <w:tcW w:w="7705" w:type="dxa"/>
          </w:tcPr>
          <w:p w14:paraId="358BD859" w14:textId="77777777" w:rsidR="007E1815" w:rsidRPr="00AE4F96" w:rsidRDefault="007E1815" w:rsidP="00D819DE">
            <w:pPr>
              <w:pStyle w:val="TableParagraph"/>
              <w:spacing w:after="240"/>
              <w:ind w:right="96"/>
              <w:jc w:val="both"/>
              <w:rPr>
                <w:rFonts w:ascii="Times New Roman" w:hAnsi="Times New Roman"/>
                <w:sz w:val="24"/>
                <w:szCs w:val="24"/>
                <w:lang w:val="el-GR"/>
              </w:rPr>
            </w:pPr>
            <w:r w:rsidRPr="00AE4F96">
              <w:rPr>
                <w:rFonts w:ascii="Times New Roman" w:hAnsi="Times New Roman"/>
                <w:b/>
                <w:sz w:val="24"/>
                <w:lang w:val="el-GR"/>
              </w:rPr>
              <w:t>Συναλλαγές χρηματοδότησης εξυπηρετούμενων τίτλων με χρηματοπιστωτικούς πελάτες, εξασφαλισμένων με άλλα στοιχεία ενεργητικού και άλλα δάνεια και προκαταβολές σε χρηματοπιστωτικά ιδρύματα</w:t>
            </w:r>
          </w:p>
          <w:p w14:paraId="50F79A15" w14:textId="77777777" w:rsidR="007E1815" w:rsidRPr="00AE4F96" w:rsidRDefault="007E1815" w:rsidP="00D819DE">
            <w:pPr>
              <w:pStyle w:val="TableParagraph"/>
              <w:spacing w:after="240"/>
              <w:ind w:right="96"/>
              <w:jc w:val="both"/>
              <w:rPr>
                <w:rFonts w:ascii="Times New Roman" w:hAnsi="Times New Roman"/>
                <w:sz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428ιθ παράγραφος 1 στοιχείο</w:t>
            </w:r>
            <w:r>
              <w:rPr>
                <w:rFonts w:ascii="Times New Roman" w:hAnsi="Times New Roman"/>
                <w:sz w:val="24"/>
              </w:rPr>
              <w:t> </w:t>
            </w:r>
            <w:r w:rsidRPr="00AE4F96">
              <w:rPr>
                <w:rFonts w:ascii="Times New Roman" w:hAnsi="Times New Roman"/>
                <w:sz w:val="24"/>
                <w:lang w:val="el-GR"/>
              </w:rPr>
              <w:t>β), άρθρο 428λ στοιχείο</w:t>
            </w:r>
            <w:r>
              <w:rPr>
                <w:rFonts w:ascii="Times New Roman" w:hAnsi="Times New Roman"/>
                <w:sz w:val="24"/>
              </w:rPr>
              <w:t> </w:t>
            </w:r>
            <w:r w:rsidRPr="00AE4F96">
              <w:rPr>
                <w:rFonts w:ascii="Times New Roman" w:hAnsi="Times New Roman"/>
                <w:sz w:val="24"/>
                <w:lang w:val="el-GR"/>
              </w:rPr>
              <w:t>δ), άρθρο 428λδ παράγραφος</w:t>
            </w:r>
            <w:r>
              <w:rPr>
                <w:rFonts w:ascii="Times New Roman" w:hAnsi="Times New Roman"/>
                <w:sz w:val="24"/>
              </w:rPr>
              <w:t> </w:t>
            </w:r>
            <w:r w:rsidRPr="00AE4F96">
              <w:rPr>
                <w:rFonts w:ascii="Times New Roman" w:hAnsi="Times New Roman"/>
                <w:sz w:val="24"/>
                <w:lang w:val="el-GR"/>
              </w:rPr>
              <w:t>1 στοιχείο</w:t>
            </w:r>
            <w:r>
              <w:rPr>
                <w:rFonts w:ascii="Times New Roman" w:hAnsi="Times New Roman"/>
                <w:sz w:val="24"/>
              </w:rPr>
              <w:t> </w:t>
            </w:r>
            <w:r w:rsidRPr="00AE4F96">
              <w:rPr>
                <w:rFonts w:ascii="Times New Roman" w:hAnsi="Times New Roman"/>
                <w:sz w:val="24"/>
                <w:lang w:val="el-GR"/>
              </w:rPr>
              <w:t>β) και άρθρο 428κβ στοιχείο β) του ΚΚΑ</w:t>
            </w:r>
          </w:p>
          <w:p w14:paraId="45DF09F8"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το άθροισμα των ακόλουθων στοιχείων:</w:t>
            </w:r>
          </w:p>
          <w:p w14:paraId="188E4FFB" w14:textId="77777777" w:rsidR="007E1815" w:rsidRPr="00AE4F96" w:rsidRDefault="007E1815" w:rsidP="007E1815">
            <w:pPr>
              <w:pStyle w:val="ListParagraph"/>
              <w:numPr>
                <w:ilvl w:val="0"/>
                <w:numId w:val="8"/>
              </w:numPr>
              <w:spacing w:after="240"/>
              <w:contextualSpacing/>
              <w:jc w:val="both"/>
              <w:rPr>
                <w:rFonts w:ascii="Times New Roman" w:hAnsi="Times New Roman"/>
                <w:sz w:val="24"/>
                <w:lang w:val="el-GR"/>
              </w:rPr>
            </w:pPr>
            <w:r w:rsidRPr="00AE4F96">
              <w:rPr>
                <w:rFonts w:ascii="Times New Roman" w:hAnsi="Times New Roman"/>
                <w:sz w:val="24"/>
                <w:lang w:val="el-GR"/>
              </w:rPr>
              <w:t>τα οφειλόμενα ποσά από συναλλαγές χρηματοδότησης τίτλων που δεν είναι σε αθέτηση σύμφωνα με το άρθρο</w:t>
            </w:r>
            <w:r>
              <w:rPr>
                <w:rFonts w:ascii="Times New Roman" w:hAnsi="Times New Roman"/>
                <w:sz w:val="24"/>
              </w:rPr>
              <w:t> </w:t>
            </w:r>
            <w:r w:rsidRPr="00AE4F96">
              <w:rPr>
                <w:rFonts w:ascii="Times New Roman" w:hAnsi="Times New Roman"/>
                <w:sz w:val="24"/>
                <w:lang w:val="el-GR"/>
              </w:rPr>
              <w:t>178 του ΚΚΑ, με χρηματοπιστωτικούς πελάτες, και εξασφαλισμένων με στοιχεία ενεργητικού εκτός των στοιχείων ενεργητικού επιπέδου 1 που είναι επιλέξιμα για ποσοστό περικοπής 0</w:t>
            </w:r>
            <w:r>
              <w:rPr>
                <w:rFonts w:ascii="Times New Roman" w:hAnsi="Times New Roman"/>
                <w:sz w:val="24"/>
              </w:rPr>
              <w:t> </w:t>
            </w:r>
            <w:r w:rsidRPr="00AE4F96">
              <w:rPr>
                <w:rFonts w:ascii="Times New Roman" w:hAnsi="Times New Roman"/>
                <w:sz w:val="24"/>
                <w:lang w:val="el-GR"/>
              </w:rPr>
              <w:t>% σύμφωνα με τον κατ’</w:t>
            </w:r>
            <w:r>
              <w:rPr>
                <w:rFonts w:ascii="Times New Roman" w:hAnsi="Times New Roman"/>
                <w:sz w:val="24"/>
              </w:rPr>
              <w:t> </w:t>
            </w:r>
            <w:r w:rsidRPr="00AE4F96">
              <w:rPr>
                <w:rFonts w:ascii="Times New Roman" w:hAnsi="Times New Roman"/>
                <w:sz w:val="24"/>
                <w:lang w:val="el-GR"/>
              </w:rPr>
              <w:t>εξουσιοδότηση κανονισμό (ΕΕ)</w:t>
            </w:r>
            <w:r>
              <w:rPr>
                <w:rFonts w:ascii="Times New Roman" w:hAnsi="Times New Roman"/>
                <w:sz w:val="24"/>
              </w:rPr>
              <w:t> </w:t>
            </w:r>
            <w:r w:rsidRPr="00AE4F96">
              <w:rPr>
                <w:rFonts w:ascii="Times New Roman" w:hAnsi="Times New Roman"/>
                <w:sz w:val="24"/>
                <w:lang w:val="el-GR"/>
              </w:rPr>
              <w:t>2015/61 της Επιτροπής και</w:t>
            </w:r>
          </w:p>
          <w:p w14:paraId="269EFE57" w14:textId="77777777" w:rsidR="007E1815" w:rsidRPr="00AE4F96" w:rsidRDefault="007E1815" w:rsidP="007E1815">
            <w:pPr>
              <w:pStyle w:val="ListParagraph"/>
              <w:numPr>
                <w:ilvl w:val="0"/>
                <w:numId w:val="8"/>
              </w:numPr>
              <w:spacing w:after="240"/>
              <w:contextualSpacing/>
              <w:jc w:val="both"/>
              <w:rPr>
                <w:rFonts w:ascii="Times New Roman" w:hAnsi="Times New Roman"/>
                <w:sz w:val="24"/>
                <w:lang w:val="el-GR"/>
              </w:rPr>
            </w:pPr>
            <w:r w:rsidRPr="00AE4F96">
              <w:rPr>
                <w:rFonts w:ascii="Times New Roman" w:hAnsi="Times New Roman"/>
                <w:sz w:val="24"/>
                <w:lang w:val="el-GR"/>
              </w:rPr>
              <w:t>τα οφειλόμενα ποσά από άλλα δάνεια και προκαταβολές που δεν είναι σε αθέτηση σύμφωνα με το άρθρο</w:t>
            </w:r>
            <w:r>
              <w:rPr>
                <w:rFonts w:ascii="Times New Roman" w:hAnsi="Times New Roman"/>
                <w:sz w:val="24"/>
              </w:rPr>
              <w:t> </w:t>
            </w:r>
            <w:r w:rsidRPr="00AE4F96">
              <w:rPr>
                <w:rFonts w:ascii="Times New Roman" w:hAnsi="Times New Roman"/>
                <w:sz w:val="24"/>
                <w:lang w:val="el-GR"/>
              </w:rPr>
              <w:t>178 του ΚΚΑ, σε χρηματοπιστωτικούς πελάτες, σύμφωνα με το άρθρο</w:t>
            </w:r>
            <w:r>
              <w:rPr>
                <w:rFonts w:ascii="Times New Roman" w:hAnsi="Times New Roman"/>
                <w:sz w:val="24"/>
              </w:rPr>
              <w:t> </w:t>
            </w:r>
            <w:r w:rsidRPr="00AE4F96">
              <w:rPr>
                <w:rFonts w:ascii="Times New Roman" w:hAnsi="Times New Roman"/>
                <w:sz w:val="24"/>
                <w:lang w:val="el-GR"/>
              </w:rPr>
              <w:t>428κβ στοιχείο</w:t>
            </w:r>
            <w:r>
              <w:rPr>
                <w:rFonts w:ascii="Times New Roman" w:hAnsi="Times New Roman"/>
                <w:sz w:val="24"/>
              </w:rPr>
              <w:t> </w:t>
            </w:r>
            <w:r w:rsidRPr="00AE4F96">
              <w:rPr>
                <w:rFonts w:ascii="Times New Roman" w:hAnsi="Times New Roman"/>
                <w:sz w:val="24"/>
                <w:lang w:val="el-GR"/>
              </w:rPr>
              <w:t>α) και με το άρθρο</w:t>
            </w:r>
            <w:r>
              <w:rPr>
                <w:rFonts w:ascii="Times New Roman" w:hAnsi="Times New Roman"/>
                <w:sz w:val="24"/>
              </w:rPr>
              <w:t> </w:t>
            </w:r>
            <w:r w:rsidRPr="00AE4F96">
              <w:rPr>
                <w:rFonts w:ascii="Times New Roman" w:hAnsi="Times New Roman"/>
                <w:sz w:val="24"/>
                <w:lang w:val="el-GR"/>
              </w:rPr>
              <w:t>428λ στοιχείο</w:t>
            </w:r>
            <w:r>
              <w:rPr>
                <w:rFonts w:ascii="Times New Roman" w:hAnsi="Times New Roman"/>
                <w:sz w:val="24"/>
              </w:rPr>
              <w:t> </w:t>
            </w:r>
            <w:r w:rsidRPr="00AE4F96">
              <w:rPr>
                <w:rFonts w:ascii="Times New Roman" w:hAnsi="Times New Roman"/>
                <w:sz w:val="24"/>
                <w:lang w:val="el-GR"/>
              </w:rPr>
              <w:t xml:space="preserve">δ) σημείο </w:t>
            </w:r>
            <w:r>
              <w:rPr>
                <w:rFonts w:ascii="Times New Roman" w:hAnsi="Times New Roman"/>
                <w:sz w:val="24"/>
              </w:rPr>
              <w:t>iii</w:t>
            </w:r>
            <w:r w:rsidRPr="00AE4F96">
              <w:rPr>
                <w:rFonts w:ascii="Times New Roman" w:hAnsi="Times New Roman"/>
                <w:sz w:val="24"/>
                <w:lang w:val="el-GR"/>
              </w:rPr>
              <w:t>) του ΚΚΑ.</w:t>
            </w:r>
          </w:p>
        </w:tc>
      </w:tr>
      <w:tr w:rsidR="007E1815" w:rsidRPr="007F4CC8" w14:paraId="16173500" w14:textId="77777777" w:rsidTr="00D819DE">
        <w:tc>
          <w:tcPr>
            <w:tcW w:w="1355" w:type="dxa"/>
          </w:tcPr>
          <w:p w14:paraId="00F1D355"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20</w:t>
            </w:r>
          </w:p>
        </w:tc>
        <w:tc>
          <w:tcPr>
            <w:tcW w:w="7705" w:type="dxa"/>
          </w:tcPr>
          <w:p w14:paraId="58451781"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Εξυπηρετούμενα δάνεια σε μη χρηματοπιστωτικούς εταιρικούς πελάτες, δάνεια σε πελάτες λιανικής και μικρές επιχειρήσεις και κρατικά δάνεια και δάνεια σε ΟΔΤ, εκ των οποίων:</w:t>
            </w:r>
          </w:p>
          <w:p w14:paraId="6DA38F78"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428λ στοιχείο</w:t>
            </w:r>
            <w:r>
              <w:rPr>
                <w:rFonts w:ascii="Times New Roman" w:hAnsi="Times New Roman"/>
                <w:sz w:val="24"/>
              </w:rPr>
              <w:t> </w:t>
            </w:r>
            <w:r w:rsidRPr="00AE4F96">
              <w:rPr>
                <w:rFonts w:ascii="Times New Roman" w:hAnsi="Times New Roman"/>
                <w:sz w:val="24"/>
                <w:lang w:val="el-GR"/>
              </w:rPr>
              <w:t>γ), άρθρο</w:t>
            </w:r>
            <w:r>
              <w:rPr>
                <w:rFonts w:ascii="Times New Roman" w:hAnsi="Times New Roman"/>
                <w:sz w:val="24"/>
              </w:rPr>
              <w:t> </w:t>
            </w:r>
            <w:r w:rsidRPr="00AE4F96">
              <w:rPr>
                <w:rFonts w:ascii="Times New Roman" w:hAnsi="Times New Roman"/>
                <w:sz w:val="24"/>
                <w:lang w:val="el-GR"/>
              </w:rPr>
              <w:t>428λβ και άρθρο</w:t>
            </w:r>
            <w:r>
              <w:rPr>
                <w:rFonts w:ascii="Times New Roman" w:hAnsi="Times New Roman"/>
                <w:sz w:val="24"/>
              </w:rPr>
              <w:t> </w:t>
            </w:r>
            <w:r w:rsidRPr="00AE4F96">
              <w:rPr>
                <w:rFonts w:ascii="Times New Roman" w:hAnsi="Times New Roman"/>
                <w:sz w:val="24"/>
                <w:lang w:val="el-GR"/>
              </w:rPr>
              <w:t>428λγ στοιχείο</w:t>
            </w:r>
            <w:r>
              <w:rPr>
                <w:rFonts w:ascii="Times New Roman" w:hAnsi="Times New Roman"/>
                <w:sz w:val="24"/>
              </w:rPr>
              <w:t> </w:t>
            </w:r>
            <w:r w:rsidRPr="00AE4F96">
              <w:rPr>
                <w:rFonts w:ascii="Times New Roman" w:hAnsi="Times New Roman"/>
                <w:sz w:val="24"/>
                <w:lang w:val="el-GR"/>
              </w:rPr>
              <w:t>γ) του ΚΚΑ</w:t>
            </w:r>
          </w:p>
          <w:p w14:paraId="36C3F192"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τα οφειλόμενα ποσά από δάνεια που δεν είναι σε αθέτηση σύμφωνα με το άρθρο</w:t>
            </w:r>
            <w:r>
              <w:rPr>
                <w:rFonts w:ascii="Times New Roman" w:hAnsi="Times New Roman"/>
                <w:sz w:val="24"/>
              </w:rPr>
              <w:t> </w:t>
            </w:r>
            <w:r w:rsidRPr="00AE4F96">
              <w:rPr>
                <w:rFonts w:ascii="Times New Roman" w:hAnsi="Times New Roman"/>
                <w:sz w:val="24"/>
                <w:lang w:val="el-GR"/>
              </w:rPr>
              <w:t xml:space="preserve">178 του ΚΚΑ, τα οποία αποτελούν στεγαστικά δάνεια πλήρως εγγυημένα από επιλέξιμο </w:t>
            </w:r>
            <w:proofErr w:type="spellStart"/>
            <w:r w:rsidRPr="00AE4F96">
              <w:rPr>
                <w:rFonts w:ascii="Times New Roman" w:hAnsi="Times New Roman"/>
                <w:sz w:val="24"/>
                <w:lang w:val="el-GR"/>
              </w:rPr>
              <w:t>πάροχο</w:t>
            </w:r>
            <w:proofErr w:type="spellEnd"/>
            <w:r w:rsidRPr="00AE4F96">
              <w:rPr>
                <w:rFonts w:ascii="Times New Roman" w:hAnsi="Times New Roman"/>
                <w:sz w:val="24"/>
                <w:lang w:val="el-GR"/>
              </w:rPr>
              <w:t xml:space="preserve"> προστασίας, όπως αναφέρεται στο άρθρο</w:t>
            </w:r>
            <w:r>
              <w:rPr>
                <w:rFonts w:ascii="Times New Roman" w:hAnsi="Times New Roman"/>
                <w:sz w:val="24"/>
              </w:rPr>
              <w:t> </w:t>
            </w:r>
            <w:r w:rsidRPr="00AE4F96">
              <w:rPr>
                <w:rFonts w:ascii="Times New Roman" w:hAnsi="Times New Roman"/>
                <w:sz w:val="24"/>
                <w:lang w:val="el-GR"/>
              </w:rPr>
              <w:t>129 παράγραφος</w:t>
            </w:r>
            <w:r>
              <w:rPr>
                <w:rFonts w:ascii="Times New Roman" w:hAnsi="Times New Roman"/>
                <w:sz w:val="24"/>
              </w:rPr>
              <w:t> </w:t>
            </w:r>
            <w:r w:rsidRPr="00AE4F96">
              <w:rPr>
                <w:rFonts w:ascii="Times New Roman" w:hAnsi="Times New Roman"/>
                <w:sz w:val="24"/>
                <w:lang w:val="el-GR"/>
              </w:rPr>
              <w:t>1 στοιχείο</w:t>
            </w:r>
            <w:r>
              <w:rPr>
                <w:rFonts w:ascii="Times New Roman" w:hAnsi="Times New Roman"/>
                <w:sz w:val="24"/>
              </w:rPr>
              <w:t> </w:t>
            </w:r>
            <w:r w:rsidRPr="00AE4F96">
              <w:rPr>
                <w:rFonts w:ascii="Times New Roman" w:hAnsi="Times New Roman"/>
                <w:sz w:val="24"/>
                <w:lang w:val="el-GR"/>
              </w:rPr>
              <w:t>ε) του ΚΚΑ ή δάνεια, με εξαίρεση τα δάνεια προς χρηματοπιστωτικούς πελάτες και τα δάνεια που αναφέρονται στα άρθρα</w:t>
            </w:r>
            <w:r>
              <w:rPr>
                <w:rFonts w:ascii="Times New Roman" w:hAnsi="Times New Roman"/>
                <w:sz w:val="24"/>
              </w:rPr>
              <w:t> </w:t>
            </w:r>
            <w:r w:rsidRPr="00AE4F96">
              <w:rPr>
                <w:rFonts w:ascii="Times New Roman" w:hAnsi="Times New Roman"/>
                <w:sz w:val="24"/>
                <w:lang w:val="el-GR"/>
              </w:rPr>
              <w:t>428ιη έως 428λ εκτός από το άρθρο</w:t>
            </w:r>
            <w:r>
              <w:rPr>
                <w:rFonts w:ascii="Times New Roman" w:hAnsi="Times New Roman"/>
                <w:sz w:val="24"/>
              </w:rPr>
              <w:t> </w:t>
            </w:r>
            <w:r w:rsidRPr="00AE4F96">
              <w:rPr>
                <w:rFonts w:ascii="Times New Roman" w:hAnsi="Times New Roman"/>
                <w:sz w:val="24"/>
                <w:lang w:val="el-GR"/>
              </w:rPr>
              <w:t>428λ στοιχείο</w:t>
            </w:r>
            <w:r>
              <w:rPr>
                <w:rFonts w:ascii="Times New Roman" w:hAnsi="Times New Roman"/>
                <w:sz w:val="24"/>
              </w:rPr>
              <w:t> </w:t>
            </w:r>
            <w:r w:rsidRPr="00AE4F96">
              <w:rPr>
                <w:rFonts w:ascii="Times New Roman" w:hAnsi="Times New Roman"/>
                <w:sz w:val="24"/>
                <w:lang w:val="el-GR"/>
              </w:rPr>
              <w:t>γ) του ΚΚΑ, ανεξάρτητα από τις σταθμίσεις κινδύνου που προβλέπονται για αυτά τα δάνεια. Αυτό το ποσό δεν περιλαμβάνει ανοίγματα που εξασφαλίζονται με υποθήκες επί ακινήτων που προορίζονται για κατοικία.</w:t>
            </w:r>
          </w:p>
        </w:tc>
      </w:tr>
      <w:tr w:rsidR="007E1815" w:rsidRPr="007F4CC8" w14:paraId="20F6DFE3" w14:textId="77777777" w:rsidTr="00D819DE">
        <w:tc>
          <w:tcPr>
            <w:tcW w:w="1355" w:type="dxa"/>
          </w:tcPr>
          <w:p w14:paraId="1358F50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21</w:t>
            </w:r>
          </w:p>
        </w:tc>
        <w:tc>
          <w:tcPr>
            <w:tcW w:w="7705" w:type="dxa"/>
          </w:tcPr>
          <w:p w14:paraId="56BBDD16"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Με συντελεστή στάθμισης κινδύνου μικρότερο ή ίσο του 35</w:t>
            </w:r>
            <w:r>
              <w:rPr>
                <w:rFonts w:ascii="Times New Roman" w:hAnsi="Times New Roman"/>
                <w:b/>
                <w:sz w:val="24"/>
              </w:rPr>
              <w:t> </w:t>
            </w:r>
            <w:r w:rsidRPr="00AE4F96">
              <w:rPr>
                <w:rFonts w:ascii="Times New Roman" w:hAnsi="Times New Roman"/>
                <w:b/>
                <w:sz w:val="24"/>
                <w:lang w:val="el-GR"/>
              </w:rPr>
              <w:t xml:space="preserve">% σύμφωνα με την τυποποιημένη προσέγγιση της Βασιλείας </w:t>
            </w:r>
            <w:r>
              <w:rPr>
                <w:rFonts w:ascii="Times New Roman" w:hAnsi="Times New Roman"/>
                <w:b/>
                <w:sz w:val="24"/>
              </w:rPr>
              <w:t>II</w:t>
            </w:r>
            <w:r w:rsidRPr="00AE4F96">
              <w:rPr>
                <w:rFonts w:ascii="Times New Roman" w:hAnsi="Times New Roman"/>
                <w:b/>
                <w:sz w:val="24"/>
                <w:lang w:val="el-GR"/>
              </w:rPr>
              <w:t xml:space="preserve"> για τον πιστωτικό κίνδυνο</w:t>
            </w:r>
          </w:p>
          <w:p w14:paraId="001D77E7" w14:textId="77777777" w:rsidR="007E1815" w:rsidRPr="00AE4F96" w:rsidRDefault="007E1815" w:rsidP="00D819DE">
            <w:pPr>
              <w:pStyle w:val="TableParagraph"/>
              <w:spacing w:after="240"/>
              <w:ind w:right="99"/>
              <w:jc w:val="both"/>
              <w:rPr>
                <w:rFonts w:ascii="Times New Roman" w:hAnsi="Times New Roman"/>
                <w:sz w:val="24"/>
                <w:szCs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428λ στοιχείο</w:t>
            </w:r>
            <w:r>
              <w:rPr>
                <w:rFonts w:ascii="Times New Roman" w:hAnsi="Times New Roman"/>
                <w:sz w:val="24"/>
              </w:rPr>
              <w:t> </w:t>
            </w:r>
            <w:r w:rsidRPr="00AE4F96">
              <w:rPr>
                <w:rFonts w:ascii="Times New Roman" w:hAnsi="Times New Roman"/>
                <w:sz w:val="24"/>
                <w:lang w:val="el-GR"/>
              </w:rPr>
              <w:t>γ) και άρθρο</w:t>
            </w:r>
            <w:r>
              <w:rPr>
                <w:rFonts w:ascii="Times New Roman" w:hAnsi="Times New Roman"/>
                <w:sz w:val="24"/>
              </w:rPr>
              <w:t> </w:t>
            </w:r>
            <w:r w:rsidRPr="00AE4F96">
              <w:rPr>
                <w:rFonts w:ascii="Times New Roman" w:hAnsi="Times New Roman"/>
                <w:sz w:val="24"/>
                <w:lang w:val="el-GR"/>
              </w:rPr>
              <w:t>428λβ του ΚΚΑ.</w:t>
            </w:r>
          </w:p>
          <w:p w14:paraId="058D8368"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 xml:space="preserve">Τα ιδρύματα δημοσιοποιούν εδώ τα οφειλόμενα ποσά από δάνεια από τη γραμμή 21 του παρόντος υποδείγματος για τα οποία προβλέπεται συντελεστής </w:t>
            </w:r>
            <w:r w:rsidRPr="00AE4F96">
              <w:rPr>
                <w:rFonts w:ascii="Times New Roman" w:hAnsi="Times New Roman"/>
                <w:sz w:val="24"/>
                <w:lang w:val="el-GR"/>
              </w:rPr>
              <w:lastRenderedPageBreak/>
              <w:t>στάθμισης κινδύνου μικρότερος ή ίσος του 35</w:t>
            </w:r>
            <w:r>
              <w:rPr>
                <w:rFonts w:ascii="Times New Roman" w:hAnsi="Times New Roman"/>
                <w:sz w:val="24"/>
              </w:rPr>
              <w:t> </w:t>
            </w:r>
            <w:r w:rsidRPr="00AE4F96">
              <w:rPr>
                <w:rFonts w:ascii="Times New Roman" w:hAnsi="Times New Roman"/>
                <w:sz w:val="24"/>
                <w:lang w:val="el-GR"/>
              </w:rPr>
              <w:t>% σύμφωνα με το τρίτο μέρος τίτλος</w:t>
            </w:r>
            <w:r>
              <w:rPr>
                <w:rFonts w:ascii="Times New Roman" w:hAnsi="Times New Roman"/>
                <w:sz w:val="24"/>
              </w:rPr>
              <w:t> II</w:t>
            </w:r>
            <w:r w:rsidRPr="00AE4F96">
              <w:rPr>
                <w:rFonts w:ascii="Times New Roman" w:hAnsi="Times New Roman"/>
                <w:sz w:val="24"/>
                <w:lang w:val="el-GR"/>
              </w:rPr>
              <w:t xml:space="preserve"> κεφάλαιο</w:t>
            </w:r>
            <w:r>
              <w:rPr>
                <w:rFonts w:ascii="Times New Roman" w:hAnsi="Times New Roman"/>
                <w:sz w:val="24"/>
              </w:rPr>
              <w:t> </w:t>
            </w:r>
            <w:r w:rsidRPr="00AE4F96">
              <w:rPr>
                <w:rFonts w:ascii="Times New Roman" w:hAnsi="Times New Roman"/>
                <w:sz w:val="24"/>
                <w:lang w:val="el-GR"/>
              </w:rPr>
              <w:t>2 του ΚΚΑ.</w:t>
            </w:r>
          </w:p>
        </w:tc>
      </w:tr>
      <w:tr w:rsidR="007E1815" w:rsidRPr="007F4CC8" w14:paraId="29C889F9" w14:textId="77777777" w:rsidTr="00D819DE">
        <w:tc>
          <w:tcPr>
            <w:tcW w:w="1355" w:type="dxa"/>
          </w:tcPr>
          <w:p w14:paraId="39F7C4A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22</w:t>
            </w:r>
          </w:p>
        </w:tc>
        <w:tc>
          <w:tcPr>
            <w:tcW w:w="7705" w:type="dxa"/>
          </w:tcPr>
          <w:p w14:paraId="7140A66D" w14:textId="77777777" w:rsidR="007E1815" w:rsidRPr="00AE4F96" w:rsidRDefault="007E1815" w:rsidP="00D819DE">
            <w:pPr>
              <w:spacing w:after="240"/>
              <w:jc w:val="both"/>
              <w:rPr>
                <w:rFonts w:ascii="Times New Roman" w:hAnsi="Times New Roman" w:cs="Times New Roman"/>
                <w:b/>
                <w:sz w:val="24"/>
                <w:lang w:val="el-GR"/>
              </w:rPr>
            </w:pPr>
            <w:r w:rsidRPr="00AE4F96">
              <w:rPr>
                <w:rFonts w:ascii="Times New Roman" w:hAnsi="Times New Roman"/>
                <w:b/>
                <w:sz w:val="24"/>
                <w:lang w:val="el-GR"/>
              </w:rPr>
              <w:t>Εξυπηρετούμενα ενυπόθηκα στεγαστικά δάνεια, εκ των οποίων:</w:t>
            </w:r>
          </w:p>
          <w:p w14:paraId="583DA513"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428λ στοιχείο</w:t>
            </w:r>
            <w:r>
              <w:rPr>
                <w:rFonts w:ascii="Times New Roman" w:hAnsi="Times New Roman"/>
                <w:sz w:val="24"/>
              </w:rPr>
              <w:t> </w:t>
            </w:r>
            <w:r w:rsidRPr="00AE4F96">
              <w:rPr>
                <w:rFonts w:ascii="Times New Roman" w:hAnsi="Times New Roman"/>
                <w:sz w:val="24"/>
                <w:lang w:val="el-GR"/>
              </w:rPr>
              <w:t>γ), άρθρο</w:t>
            </w:r>
            <w:r>
              <w:rPr>
                <w:rFonts w:ascii="Times New Roman" w:hAnsi="Times New Roman"/>
                <w:sz w:val="24"/>
              </w:rPr>
              <w:t> </w:t>
            </w:r>
            <w:r w:rsidRPr="00AE4F96">
              <w:rPr>
                <w:rFonts w:ascii="Times New Roman" w:hAnsi="Times New Roman"/>
                <w:sz w:val="24"/>
                <w:lang w:val="el-GR"/>
              </w:rPr>
              <w:t>428λβ στοιχείο</w:t>
            </w:r>
            <w:r>
              <w:rPr>
                <w:rFonts w:ascii="Times New Roman" w:hAnsi="Times New Roman"/>
                <w:sz w:val="24"/>
              </w:rPr>
              <w:t> </w:t>
            </w:r>
            <w:r w:rsidRPr="00AE4F96">
              <w:rPr>
                <w:rFonts w:ascii="Times New Roman" w:hAnsi="Times New Roman"/>
                <w:sz w:val="24"/>
                <w:lang w:val="el-GR"/>
              </w:rPr>
              <w:t>α) και άρθρο</w:t>
            </w:r>
            <w:r>
              <w:rPr>
                <w:rFonts w:ascii="Times New Roman" w:hAnsi="Times New Roman"/>
                <w:sz w:val="24"/>
              </w:rPr>
              <w:t> </w:t>
            </w:r>
            <w:r w:rsidRPr="00AE4F96">
              <w:rPr>
                <w:rFonts w:ascii="Times New Roman" w:hAnsi="Times New Roman"/>
                <w:sz w:val="24"/>
                <w:lang w:val="el-GR"/>
              </w:rPr>
              <w:t>428λγ στοιχείο</w:t>
            </w:r>
            <w:r>
              <w:rPr>
                <w:rFonts w:ascii="Times New Roman" w:hAnsi="Times New Roman"/>
                <w:sz w:val="24"/>
              </w:rPr>
              <w:t> </w:t>
            </w:r>
            <w:r w:rsidRPr="00AE4F96">
              <w:rPr>
                <w:rFonts w:ascii="Times New Roman" w:hAnsi="Times New Roman"/>
                <w:sz w:val="24"/>
                <w:lang w:val="el-GR"/>
              </w:rPr>
              <w:t>γ) του ΚΚΑ</w:t>
            </w:r>
          </w:p>
          <w:p w14:paraId="4FF29EF2" w14:textId="77777777" w:rsidR="007E1815" w:rsidRPr="00AE4F96" w:rsidRDefault="007E1815" w:rsidP="00D819DE">
            <w:pPr>
              <w:pStyle w:val="TableParagraph"/>
              <w:spacing w:after="240"/>
              <w:ind w:right="99"/>
              <w:jc w:val="both"/>
              <w:rPr>
                <w:rFonts w:ascii="Times New Roman" w:hAnsi="Times New Roman"/>
                <w:sz w:val="24"/>
                <w:szCs w:val="24"/>
                <w:lang w:val="el-GR"/>
              </w:rPr>
            </w:pPr>
            <w:r w:rsidRPr="00AE4F96">
              <w:rPr>
                <w:rFonts w:ascii="Times New Roman" w:hAnsi="Times New Roman"/>
                <w:sz w:val="24"/>
                <w:lang w:val="el-GR"/>
              </w:rPr>
              <w:t>Τα ιδρύματα δημοσιοποιούν εδώ τα οφειλόμενα ποσά από δάνεια που δεν είναι σε αθέτηση σύμφωνα με το άρθρο</w:t>
            </w:r>
            <w:r>
              <w:rPr>
                <w:rFonts w:ascii="Times New Roman" w:hAnsi="Times New Roman"/>
                <w:sz w:val="24"/>
              </w:rPr>
              <w:t> </w:t>
            </w:r>
            <w:r w:rsidRPr="00AE4F96">
              <w:rPr>
                <w:rFonts w:ascii="Times New Roman" w:hAnsi="Times New Roman"/>
                <w:sz w:val="24"/>
                <w:lang w:val="el-GR"/>
              </w:rPr>
              <w:t>178 του ΚΚΑ, τα οποία αποτελούν δάνεια ασφαλισμένα με υποθήκες επί οικιστικών ακινήτων, με εξαίρεση τα δάνεια προς χρηματοπιστωτικούς πελάτες και τα δάνεια που αναφέρονται στα άρθρα</w:t>
            </w:r>
            <w:r>
              <w:rPr>
                <w:rFonts w:ascii="Times New Roman" w:hAnsi="Times New Roman"/>
                <w:sz w:val="24"/>
              </w:rPr>
              <w:t> </w:t>
            </w:r>
            <w:r w:rsidRPr="00AE4F96">
              <w:rPr>
                <w:rFonts w:ascii="Times New Roman" w:hAnsi="Times New Roman"/>
                <w:sz w:val="24"/>
                <w:lang w:val="el-GR"/>
              </w:rPr>
              <w:t>428ιη έως 428λ του ΚΚΑ εκτός από το άρθρο</w:t>
            </w:r>
            <w:r>
              <w:rPr>
                <w:rFonts w:ascii="Times New Roman" w:hAnsi="Times New Roman"/>
                <w:sz w:val="24"/>
              </w:rPr>
              <w:t> </w:t>
            </w:r>
            <w:r w:rsidRPr="00AE4F96">
              <w:rPr>
                <w:rFonts w:ascii="Times New Roman" w:hAnsi="Times New Roman"/>
                <w:sz w:val="24"/>
                <w:lang w:val="el-GR"/>
              </w:rPr>
              <w:t>428λ εδάφιο</w:t>
            </w:r>
            <w:r>
              <w:rPr>
                <w:rFonts w:ascii="Times New Roman" w:hAnsi="Times New Roman"/>
                <w:sz w:val="24"/>
              </w:rPr>
              <w:t> </w:t>
            </w:r>
            <w:r w:rsidRPr="00AE4F96">
              <w:rPr>
                <w:rFonts w:ascii="Times New Roman" w:hAnsi="Times New Roman"/>
                <w:sz w:val="24"/>
                <w:lang w:val="el-GR"/>
              </w:rPr>
              <w:t>γ) του ΚΚΑ, ανεξάρτητα από τις σταθμίσεις κινδύνου που προβλέπονται για αυτά τα δάνεια.</w:t>
            </w:r>
          </w:p>
        </w:tc>
      </w:tr>
      <w:tr w:rsidR="007E1815" w:rsidRPr="007F4CC8" w14:paraId="54156A49" w14:textId="77777777" w:rsidTr="00D819DE">
        <w:tc>
          <w:tcPr>
            <w:tcW w:w="1355" w:type="dxa"/>
          </w:tcPr>
          <w:p w14:paraId="0D61EA0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23</w:t>
            </w:r>
          </w:p>
        </w:tc>
        <w:tc>
          <w:tcPr>
            <w:tcW w:w="7705" w:type="dxa"/>
          </w:tcPr>
          <w:p w14:paraId="005CD157"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Με συντελεστή στάθμισης κινδύνου μικρότερο ή ίσο του 35</w:t>
            </w:r>
            <w:r>
              <w:rPr>
                <w:rFonts w:ascii="Times New Roman" w:hAnsi="Times New Roman"/>
                <w:b/>
                <w:sz w:val="24"/>
              </w:rPr>
              <w:t> </w:t>
            </w:r>
            <w:r w:rsidRPr="00AE4F96">
              <w:rPr>
                <w:rFonts w:ascii="Times New Roman" w:hAnsi="Times New Roman"/>
                <w:b/>
                <w:sz w:val="24"/>
                <w:lang w:val="el-GR"/>
              </w:rPr>
              <w:t xml:space="preserve">% σύμφωνα με την τυποποιημένη προσέγγιση της Βασιλείας </w:t>
            </w:r>
            <w:r>
              <w:rPr>
                <w:rFonts w:ascii="Times New Roman" w:hAnsi="Times New Roman"/>
                <w:b/>
                <w:sz w:val="24"/>
              </w:rPr>
              <w:t>II</w:t>
            </w:r>
            <w:r w:rsidRPr="00AE4F96">
              <w:rPr>
                <w:rFonts w:ascii="Times New Roman" w:hAnsi="Times New Roman"/>
                <w:b/>
                <w:sz w:val="24"/>
                <w:lang w:val="el-GR"/>
              </w:rPr>
              <w:t xml:space="preserve"> για τον πιστωτικό κίνδυνο</w:t>
            </w:r>
          </w:p>
          <w:p w14:paraId="03D79734"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428λ στοιχείο</w:t>
            </w:r>
            <w:r>
              <w:rPr>
                <w:rFonts w:ascii="Times New Roman" w:hAnsi="Times New Roman"/>
                <w:sz w:val="24"/>
              </w:rPr>
              <w:t> </w:t>
            </w:r>
            <w:r w:rsidRPr="00AE4F96">
              <w:rPr>
                <w:rFonts w:ascii="Times New Roman" w:hAnsi="Times New Roman"/>
                <w:sz w:val="24"/>
                <w:lang w:val="el-GR"/>
              </w:rPr>
              <w:t>γ) και άρθρο</w:t>
            </w:r>
            <w:r>
              <w:rPr>
                <w:rFonts w:ascii="Times New Roman" w:hAnsi="Times New Roman"/>
                <w:sz w:val="24"/>
              </w:rPr>
              <w:t> </w:t>
            </w:r>
            <w:r w:rsidRPr="00AE4F96">
              <w:rPr>
                <w:rFonts w:ascii="Times New Roman" w:hAnsi="Times New Roman"/>
                <w:sz w:val="24"/>
                <w:lang w:val="el-GR"/>
              </w:rPr>
              <w:t>428λγ στοιχείο</w:t>
            </w:r>
            <w:r>
              <w:rPr>
                <w:rFonts w:ascii="Times New Roman" w:hAnsi="Times New Roman"/>
                <w:sz w:val="24"/>
              </w:rPr>
              <w:t> </w:t>
            </w:r>
            <w:r w:rsidRPr="00AE4F96">
              <w:rPr>
                <w:rFonts w:ascii="Times New Roman" w:hAnsi="Times New Roman"/>
                <w:sz w:val="24"/>
                <w:lang w:val="el-GR"/>
              </w:rPr>
              <w:t>α) του ΚΚΑ</w:t>
            </w:r>
          </w:p>
          <w:p w14:paraId="00D059E6"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περιλαμβάνουν εδώ τα οφειλόμενα ποσά από δάνεια από τη γραμμή</w:t>
            </w:r>
            <w:r>
              <w:rPr>
                <w:rFonts w:ascii="Times New Roman" w:hAnsi="Times New Roman"/>
                <w:sz w:val="24"/>
              </w:rPr>
              <w:t> </w:t>
            </w:r>
            <w:r w:rsidRPr="00AE4F96">
              <w:rPr>
                <w:rFonts w:ascii="Times New Roman" w:hAnsi="Times New Roman"/>
                <w:sz w:val="24"/>
                <w:lang w:val="el-GR"/>
              </w:rPr>
              <w:t>22 του παρόντος υποδείγματος για τα οποία προβλέπεται συντελεστής στάθμισης κινδύνου μικρότερος ή ίσος του 35</w:t>
            </w:r>
            <w:r>
              <w:rPr>
                <w:rFonts w:ascii="Times New Roman" w:hAnsi="Times New Roman"/>
                <w:sz w:val="24"/>
              </w:rPr>
              <w:t> </w:t>
            </w:r>
            <w:r w:rsidRPr="00AE4F96">
              <w:rPr>
                <w:rFonts w:ascii="Times New Roman" w:hAnsi="Times New Roman"/>
                <w:sz w:val="24"/>
                <w:lang w:val="el-GR"/>
              </w:rPr>
              <w:t>% σύμφωνα με το τρίτο μέρος τίτλος</w:t>
            </w:r>
            <w:r>
              <w:rPr>
                <w:rFonts w:ascii="Times New Roman" w:hAnsi="Times New Roman"/>
                <w:sz w:val="24"/>
              </w:rPr>
              <w:t> II</w:t>
            </w:r>
            <w:r w:rsidRPr="00AE4F96">
              <w:rPr>
                <w:rFonts w:ascii="Times New Roman" w:hAnsi="Times New Roman"/>
                <w:sz w:val="24"/>
                <w:lang w:val="el-GR"/>
              </w:rPr>
              <w:t xml:space="preserve"> κεφάλαιο</w:t>
            </w:r>
            <w:r>
              <w:rPr>
                <w:rFonts w:ascii="Times New Roman" w:hAnsi="Times New Roman"/>
                <w:sz w:val="24"/>
              </w:rPr>
              <w:t> </w:t>
            </w:r>
            <w:r w:rsidRPr="00AE4F96">
              <w:rPr>
                <w:rFonts w:ascii="Times New Roman" w:hAnsi="Times New Roman"/>
                <w:sz w:val="24"/>
                <w:lang w:val="el-GR"/>
              </w:rPr>
              <w:t>2 του ΚΚΑ.</w:t>
            </w:r>
          </w:p>
        </w:tc>
      </w:tr>
      <w:tr w:rsidR="007E1815" w:rsidRPr="007F4CC8" w14:paraId="6434C3BA" w14:textId="77777777" w:rsidTr="00D819DE">
        <w:tc>
          <w:tcPr>
            <w:tcW w:w="1355" w:type="dxa"/>
          </w:tcPr>
          <w:p w14:paraId="549B601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24</w:t>
            </w:r>
          </w:p>
        </w:tc>
        <w:tc>
          <w:tcPr>
            <w:tcW w:w="7705" w:type="dxa"/>
          </w:tcPr>
          <w:p w14:paraId="67C2DE86"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 xml:space="preserve">Άλλα δάνεια και τίτλοι που δεν είναι σε αθέτηση και δεν θεωρούνται </w:t>
            </w:r>
            <w:r>
              <w:rPr>
                <w:rFonts w:ascii="Times New Roman" w:hAnsi="Times New Roman"/>
                <w:b/>
                <w:sz w:val="24"/>
              </w:rPr>
              <w:t>HQLA</w:t>
            </w:r>
            <w:r w:rsidRPr="00AE4F96">
              <w:rPr>
                <w:rFonts w:ascii="Times New Roman" w:hAnsi="Times New Roman"/>
                <w:b/>
                <w:sz w:val="24"/>
                <w:lang w:val="el-GR"/>
              </w:rPr>
              <w:t>, συμπεριλαμβανομένων μετοχών διαπραγματεύσιμων σε χρηματιστήριο και προϊόντων χρηματοδότησης του εμπορίου εντός ισολογισμού</w:t>
            </w:r>
          </w:p>
          <w:p w14:paraId="39DF980B"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το άθροισμα των ακόλουθων στοιχείων:</w:t>
            </w:r>
          </w:p>
          <w:p w14:paraId="51D89DE9" w14:textId="77777777" w:rsidR="007E1815" w:rsidRPr="00AE4F96" w:rsidRDefault="007E1815" w:rsidP="007E1815">
            <w:pPr>
              <w:pStyle w:val="ListParagraph"/>
              <w:numPr>
                <w:ilvl w:val="0"/>
                <w:numId w:val="8"/>
              </w:numPr>
              <w:spacing w:after="240"/>
              <w:contextualSpacing/>
              <w:jc w:val="both"/>
              <w:rPr>
                <w:rFonts w:ascii="Times New Roman" w:hAnsi="Times New Roman"/>
                <w:sz w:val="24"/>
                <w:lang w:val="el-GR"/>
              </w:rPr>
            </w:pPr>
            <w:r w:rsidRPr="00AE4F96">
              <w:rPr>
                <w:rFonts w:ascii="Times New Roman" w:hAnsi="Times New Roman"/>
                <w:sz w:val="24"/>
                <w:lang w:val="el-GR"/>
              </w:rPr>
              <w:t>σύμφωνα με το άρθρο</w:t>
            </w:r>
            <w:r>
              <w:rPr>
                <w:rFonts w:ascii="Times New Roman" w:hAnsi="Times New Roman"/>
                <w:sz w:val="24"/>
              </w:rPr>
              <w:t> </w:t>
            </w:r>
            <w:r w:rsidRPr="00AE4F96">
              <w:rPr>
                <w:rFonts w:ascii="Times New Roman" w:hAnsi="Times New Roman"/>
                <w:sz w:val="24"/>
                <w:lang w:val="el-GR"/>
              </w:rPr>
              <w:t>428λγ στοιχεία</w:t>
            </w:r>
            <w:r>
              <w:rPr>
                <w:rFonts w:ascii="Times New Roman" w:hAnsi="Times New Roman"/>
                <w:sz w:val="24"/>
              </w:rPr>
              <w:t> </w:t>
            </w:r>
            <w:r w:rsidRPr="00AE4F96">
              <w:rPr>
                <w:rFonts w:ascii="Times New Roman" w:hAnsi="Times New Roman"/>
                <w:sz w:val="24"/>
                <w:lang w:val="el-GR"/>
              </w:rPr>
              <w:t>ε) και</w:t>
            </w:r>
            <w:r>
              <w:rPr>
                <w:rFonts w:ascii="Times New Roman" w:hAnsi="Times New Roman"/>
                <w:sz w:val="24"/>
              </w:rPr>
              <w:t> </w:t>
            </w:r>
            <w:proofErr w:type="spellStart"/>
            <w:r w:rsidRPr="00AE4F96">
              <w:rPr>
                <w:rFonts w:ascii="Times New Roman" w:hAnsi="Times New Roman"/>
                <w:sz w:val="24"/>
                <w:lang w:val="el-GR"/>
              </w:rPr>
              <w:t>στ</w:t>
            </w:r>
            <w:proofErr w:type="spellEnd"/>
            <w:r w:rsidRPr="00AE4F96">
              <w:rPr>
                <w:rFonts w:ascii="Times New Roman" w:hAnsi="Times New Roman"/>
                <w:sz w:val="24"/>
                <w:lang w:val="el-GR"/>
              </w:rPr>
              <w:t>) του ΚΚΑ, τίτλους οι οποίοι δεν είναι σε αθέτηση σύμφωνα με το άρθρο</w:t>
            </w:r>
            <w:r>
              <w:rPr>
                <w:rFonts w:ascii="Times New Roman" w:hAnsi="Times New Roman"/>
                <w:sz w:val="24"/>
              </w:rPr>
              <w:t> </w:t>
            </w:r>
            <w:r w:rsidRPr="00AE4F96">
              <w:rPr>
                <w:rFonts w:ascii="Times New Roman" w:hAnsi="Times New Roman"/>
                <w:sz w:val="24"/>
                <w:lang w:val="el-GR"/>
              </w:rPr>
              <w:t>178 του ΚΚΑ και δεν είναι ρευστά στοιχεία ενεργητικού σύμφωνα με τον κατ’</w:t>
            </w:r>
            <w:r>
              <w:rPr>
                <w:rFonts w:ascii="Times New Roman" w:hAnsi="Times New Roman"/>
                <w:sz w:val="24"/>
              </w:rPr>
              <w:t> </w:t>
            </w:r>
            <w:r w:rsidRPr="00AE4F96">
              <w:rPr>
                <w:rFonts w:ascii="Times New Roman" w:hAnsi="Times New Roman"/>
                <w:sz w:val="24"/>
                <w:lang w:val="el-GR"/>
              </w:rPr>
              <w:t>εξουσιοδότηση κανονισμό (ΕΕ)</w:t>
            </w:r>
            <w:r>
              <w:rPr>
                <w:rFonts w:ascii="Times New Roman" w:hAnsi="Times New Roman"/>
                <w:sz w:val="24"/>
              </w:rPr>
              <w:t> </w:t>
            </w:r>
            <w:r w:rsidRPr="00AE4F96">
              <w:rPr>
                <w:rFonts w:ascii="Times New Roman" w:hAnsi="Times New Roman"/>
                <w:sz w:val="24"/>
                <w:lang w:val="el-GR"/>
              </w:rPr>
              <w:t>2015/61 της Επιτροπής, ανεξαρτήτως του εάν συμμορφώνονται με τις λειτουργικές απαιτήσεις που προβλέπονται στον εν λόγω κανονισμό και</w:t>
            </w:r>
          </w:p>
          <w:p w14:paraId="7E2ECB28" w14:textId="77777777" w:rsidR="007E1815" w:rsidRPr="00AE4F96" w:rsidRDefault="007E1815" w:rsidP="007E1815">
            <w:pPr>
              <w:pStyle w:val="ListParagraph"/>
              <w:numPr>
                <w:ilvl w:val="0"/>
                <w:numId w:val="8"/>
              </w:numPr>
              <w:spacing w:after="240"/>
              <w:contextualSpacing/>
              <w:jc w:val="both"/>
              <w:rPr>
                <w:rFonts w:ascii="Times New Roman" w:hAnsi="Times New Roman"/>
                <w:sz w:val="24"/>
                <w:lang w:val="el-GR"/>
              </w:rPr>
            </w:pPr>
            <w:r w:rsidRPr="00AE4F96">
              <w:rPr>
                <w:rFonts w:ascii="Times New Roman" w:hAnsi="Times New Roman"/>
                <w:sz w:val="24"/>
                <w:lang w:val="el-GR"/>
              </w:rPr>
              <w:t>προϊόντα χρηματοδότησης του εμπορίου εντός ισολογισμού σύμφωνα με το άρθρο</w:t>
            </w:r>
            <w:r>
              <w:rPr>
                <w:rFonts w:ascii="Times New Roman" w:hAnsi="Times New Roman"/>
                <w:sz w:val="24"/>
              </w:rPr>
              <w:t> </w:t>
            </w:r>
            <w:r w:rsidRPr="00AE4F96">
              <w:rPr>
                <w:rFonts w:ascii="Times New Roman" w:hAnsi="Times New Roman"/>
                <w:sz w:val="24"/>
                <w:lang w:val="el-GR"/>
              </w:rPr>
              <w:t>428κβ στοιχείο</w:t>
            </w:r>
            <w:r>
              <w:rPr>
                <w:rFonts w:ascii="Times New Roman" w:hAnsi="Times New Roman"/>
                <w:sz w:val="24"/>
              </w:rPr>
              <w:t> </w:t>
            </w:r>
            <w:r w:rsidRPr="00AE4F96">
              <w:rPr>
                <w:rFonts w:ascii="Times New Roman" w:hAnsi="Times New Roman"/>
                <w:sz w:val="24"/>
                <w:lang w:val="el-GR"/>
              </w:rPr>
              <w:t>β), το άρθρο</w:t>
            </w:r>
            <w:r>
              <w:rPr>
                <w:rFonts w:ascii="Times New Roman" w:hAnsi="Times New Roman"/>
                <w:sz w:val="24"/>
              </w:rPr>
              <w:t> </w:t>
            </w:r>
            <w:r w:rsidRPr="00AE4F96">
              <w:rPr>
                <w:rFonts w:ascii="Times New Roman" w:hAnsi="Times New Roman"/>
                <w:sz w:val="24"/>
                <w:lang w:val="el-GR"/>
              </w:rPr>
              <w:t>428λ στοιχείο</w:t>
            </w:r>
            <w:r>
              <w:rPr>
                <w:rFonts w:ascii="Times New Roman" w:hAnsi="Times New Roman"/>
                <w:sz w:val="24"/>
              </w:rPr>
              <w:t> </w:t>
            </w:r>
            <w:r w:rsidRPr="00AE4F96">
              <w:rPr>
                <w:rFonts w:ascii="Times New Roman" w:hAnsi="Times New Roman"/>
                <w:sz w:val="24"/>
                <w:lang w:val="el-GR"/>
              </w:rPr>
              <w:t>ε) και το άρθρο</w:t>
            </w:r>
            <w:r>
              <w:rPr>
                <w:rFonts w:ascii="Times New Roman" w:hAnsi="Times New Roman"/>
                <w:sz w:val="24"/>
              </w:rPr>
              <w:t> </w:t>
            </w:r>
            <w:r w:rsidRPr="00AE4F96">
              <w:rPr>
                <w:rFonts w:ascii="Times New Roman" w:hAnsi="Times New Roman"/>
                <w:sz w:val="24"/>
                <w:lang w:val="el-GR"/>
              </w:rPr>
              <w:t>428λγ στοιχείο</w:t>
            </w:r>
            <w:r>
              <w:rPr>
                <w:rFonts w:ascii="Times New Roman" w:hAnsi="Times New Roman"/>
                <w:sz w:val="24"/>
              </w:rPr>
              <w:t> </w:t>
            </w:r>
            <w:r w:rsidRPr="00AE4F96">
              <w:rPr>
                <w:rFonts w:ascii="Times New Roman" w:hAnsi="Times New Roman"/>
                <w:sz w:val="24"/>
                <w:lang w:val="el-GR"/>
              </w:rPr>
              <w:t>δ) του ΚΚΑ.</w:t>
            </w:r>
          </w:p>
        </w:tc>
      </w:tr>
      <w:tr w:rsidR="007E1815" w:rsidRPr="007F4CC8" w14:paraId="35E36BF0" w14:textId="77777777" w:rsidTr="00D819DE">
        <w:tc>
          <w:tcPr>
            <w:tcW w:w="1355" w:type="dxa"/>
          </w:tcPr>
          <w:p w14:paraId="57459CB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25</w:t>
            </w:r>
          </w:p>
        </w:tc>
        <w:tc>
          <w:tcPr>
            <w:tcW w:w="7705" w:type="dxa"/>
          </w:tcPr>
          <w:p w14:paraId="2499489C"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Αλληλεξαρτώμενα στοιχεία ενεργητικού</w:t>
            </w:r>
          </w:p>
          <w:p w14:paraId="27834A63" w14:textId="77777777" w:rsidR="007E1815" w:rsidRPr="00AE4F96" w:rsidRDefault="007E1815" w:rsidP="00D819DE">
            <w:pPr>
              <w:pStyle w:val="TableParagraph"/>
              <w:spacing w:after="240"/>
              <w:ind w:right="99"/>
              <w:jc w:val="both"/>
              <w:rPr>
                <w:rFonts w:ascii="Times New Roman" w:hAnsi="Times New Roman"/>
                <w:sz w:val="24"/>
                <w:szCs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428στ και άρθρο</w:t>
            </w:r>
            <w:r>
              <w:rPr>
                <w:rFonts w:ascii="Times New Roman" w:hAnsi="Times New Roman"/>
                <w:sz w:val="24"/>
              </w:rPr>
              <w:t> </w:t>
            </w:r>
            <w:r w:rsidRPr="00AE4F96">
              <w:rPr>
                <w:rFonts w:ascii="Times New Roman" w:hAnsi="Times New Roman"/>
                <w:sz w:val="24"/>
                <w:lang w:val="el-GR"/>
              </w:rPr>
              <w:t>428ιη παράγραφος</w:t>
            </w:r>
            <w:r>
              <w:rPr>
                <w:rFonts w:ascii="Times New Roman" w:hAnsi="Times New Roman"/>
                <w:sz w:val="24"/>
              </w:rPr>
              <w:t> </w:t>
            </w:r>
            <w:r w:rsidRPr="00AE4F96">
              <w:rPr>
                <w:rFonts w:ascii="Times New Roman" w:hAnsi="Times New Roman"/>
                <w:sz w:val="24"/>
                <w:lang w:val="el-GR"/>
              </w:rPr>
              <w:t>1 στοιχείο</w:t>
            </w:r>
            <w:r>
              <w:rPr>
                <w:rFonts w:ascii="Times New Roman" w:hAnsi="Times New Roman"/>
                <w:sz w:val="24"/>
              </w:rPr>
              <w:t> </w:t>
            </w:r>
            <w:proofErr w:type="spellStart"/>
            <w:r w:rsidRPr="00AE4F96">
              <w:rPr>
                <w:rFonts w:ascii="Times New Roman" w:hAnsi="Times New Roman"/>
                <w:sz w:val="24"/>
                <w:lang w:val="el-GR"/>
              </w:rPr>
              <w:t>στ</w:t>
            </w:r>
            <w:proofErr w:type="spellEnd"/>
            <w:r w:rsidRPr="00AE4F96">
              <w:rPr>
                <w:rFonts w:ascii="Times New Roman" w:hAnsi="Times New Roman"/>
                <w:sz w:val="24"/>
                <w:lang w:val="el-GR"/>
              </w:rPr>
              <w:t>) του ΚΚΑ</w:t>
            </w:r>
          </w:p>
          <w:p w14:paraId="72C976E7"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lastRenderedPageBreak/>
              <w:t>Τα ιδρύματα δημοσιοποιούν εδώ στοιχεία ενεργητικού που, αφού εγκριθούν από τις αρμόδιες αρχές, αλληλεξαρτώνται με στοιχεία παθητικού σύμφωνα με το άρθρο</w:t>
            </w:r>
            <w:r>
              <w:rPr>
                <w:rFonts w:ascii="Times New Roman" w:hAnsi="Times New Roman"/>
                <w:sz w:val="24"/>
              </w:rPr>
              <w:t> </w:t>
            </w:r>
            <w:r w:rsidRPr="00AE4F96">
              <w:rPr>
                <w:rFonts w:ascii="Times New Roman" w:hAnsi="Times New Roman"/>
                <w:sz w:val="24"/>
                <w:lang w:val="el-GR"/>
              </w:rPr>
              <w:t>428στ του ΚΚΑ.</w:t>
            </w:r>
          </w:p>
        </w:tc>
      </w:tr>
      <w:tr w:rsidR="007E1815" w:rsidRPr="007F4CC8" w14:paraId="0CF97540" w14:textId="77777777" w:rsidTr="00D819DE">
        <w:tc>
          <w:tcPr>
            <w:tcW w:w="1355" w:type="dxa"/>
          </w:tcPr>
          <w:p w14:paraId="70B09EF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26</w:t>
            </w:r>
          </w:p>
        </w:tc>
        <w:tc>
          <w:tcPr>
            <w:tcW w:w="7705" w:type="dxa"/>
          </w:tcPr>
          <w:p w14:paraId="42CE6BB4"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Άλλα στοιχεία ενεργητικού:</w:t>
            </w:r>
          </w:p>
          <w:p w14:paraId="04069E74"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το άθροισμα των ποσών στις γραμμές</w:t>
            </w:r>
            <w:r>
              <w:rPr>
                <w:rFonts w:ascii="Times New Roman" w:hAnsi="Times New Roman"/>
                <w:sz w:val="24"/>
              </w:rPr>
              <w:t> </w:t>
            </w:r>
            <w:r w:rsidRPr="00AE4F96">
              <w:rPr>
                <w:rFonts w:ascii="Times New Roman" w:hAnsi="Times New Roman"/>
                <w:sz w:val="24"/>
                <w:lang w:val="el-GR"/>
              </w:rPr>
              <w:t>27, 28, 29, 30 και</w:t>
            </w:r>
            <w:r>
              <w:rPr>
                <w:rFonts w:ascii="Times New Roman" w:hAnsi="Times New Roman"/>
                <w:sz w:val="24"/>
              </w:rPr>
              <w:t> </w:t>
            </w:r>
            <w:r w:rsidRPr="00AE4F96">
              <w:rPr>
                <w:rFonts w:ascii="Times New Roman" w:hAnsi="Times New Roman"/>
                <w:sz w:val="24"/>
                <w:lang w:val="el-GR"/>
              </w:rPr>
              <w:t>31 του παρόντος υποδείγματος.</w:t>
            </w:r>
          </w:p>
        </w:tc>
      </w:tr>
      <w:tr w:rsidR="007E1815" w:rsidRPr="007F4CC8" w14:paraId="308B373B" w14:textId="77777777" w:rsidTr="00D819DE">
        <w:tc>
          <w:tcPr>
            <w:tcW w:w="1355" w:type="dxa"/>
          </w:tcPr>
          <w:p w14:paraId="5913D910"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27</w:t>
            </w:r>
          </w:p>
        </w:tc>
        <w:tc>
          <w:tcPr>
            <w:tcW w:w="7705" w:type="dxa"/>
          </w:tcPr>
          <w:p w14:paraId="697B1938"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Εμπορεύματα που αποτελούν αντικείμενο υλικής εμπορικής συναλλαγής</w:t>
            </w:r>
          </w:p>
          <w:p w14:paraId="32837474" w14:textId="77777777" w:rsidR="007E1815" w:rsidRPr="00AE4F96" w:rsidRDefault="007E1815" w:rsidP="00D819DE">
            <w:pPr>
              <w:pStyle w:val="TableParagraph"/>
              <w:spacing w:after="240"/>
              <w:ind w:right="99"/>
              <w:jc w:val="both"/>
              <w:rPr>
                <w:rFonts w:ascii="Times New Roman" w:hAnsi="Times New Roman"/>
                <w:sz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428λγ στοιχείο</w:t>
            </w:r>
            <w:r>
              <w:rPr>
                <w:rFonts w:ascii="Times New Roman" w:hAnsi="Times New Roman"/>
                <w:sz w:val="24"/>
              </w:rPr>
              <w:t> </w:t>
            </w:r>
            <w:r w:rsidRPr="00AE4F96">
              <w:rPr>
                <w:rFonts w:ascii="Times New Roman" w:hAnsi="Times New Roman"/>
                <w:sz w:val="24"/>
                <w:lang w:val="el-GR"/>
              </w:rPr>
              <w:t>ζ) του ΚΚΑ</w:t>
            </w:r>
          </w:p>
          <w:p w14:paraId="78174A53" w14:textId="77777777" w:rsidR="007E1815" w:rsidRPr="007F4CC8" w:rsidRDefault="007E1815" w:rsidP="00D819DE">
            <w:pPr>
              <w:spacing w:after="240"/>
              <w:jc w:val="both"/>
              <w:rPr>
                <w:rFonts w:ascii="Times New Roman" w:hAnsi="Times New Roman"/>
                <w:sz w:val="24"/>
              </w:rPr>
            </w:pPr>
            <w:r w:rsidRPr="00AE4F96">
              <w:rPr>
                <w:rFonts w:ascii="Times New Roman" w:hAnsi="Times New Roman"/>
                <w:sz w:val="24"/>
                <w:lang w:val="el-GR"/>
              </w:rPr>
              <w:t xml:space="preserve">Τα ιδρύματα δημοσιοποιούν εδώ το ποσό των εμπορευμάτων που αποτελούν αντικείμενο υλικής εμπορικής συναλλαγής. </w:t>
            </w:r>
            <w:proofErr w:type="spellStart"/>
            <w:r>
              <w:rPr>
                <w:rFonts w:ascii="Times New Roman" w:hAnsi="Times New Roman"/>
                <w:sz w:val="24"/>
              </w:rPr>
              <w:t>Το</w:t>
            </w:r>
            <w:proofErr w:type="spellEnd"/>
            <w:r>
              <w:rPr>
                <w:rFonts w:ascii="Times New Roman" w:hAnsi="Times New Roman"/>
                <w:sz w:val="24"/>
              </w:rPr>
              <w:t xml:space="preserve"> π</w:t>
            </w:r>
            <w:proofErr w:type="spellStart"/>
            <w:r>
              <w:rPr>
                <w:rFonts w:ascii="Times New Roman" w:hAnsi="Times New Roman"/>
                <w:sz w:val="24"/>
              </w:rPr>
              <w:t>οσό</w:t>
            </w:r>
            <w:proofErr w:type="spellEnd"/>
            <w:r>
              <w:rPr>
                <w:rFonts w:ascii="Times New Roman" w:hAnsi="Times New Roman"/>
                <w:sz w:val="24"/>
              </w:rPr>
              <w:t xml:space="preserve"> α</w:t>
            </w:r>
            <w:proofErr w:type="spellStart"/>
            <w:r>
              <w:rPr>
                <w:rFonts w:ascii="Times New Roman" w:hAnsi="Times New Roman"/>
                <w:sz w:val="24"/>
              </w:rPr>
              <w:t>υτό</w:t>
            </w:r>
            <w:proofErr w:type="spellEnd"/>
            <w:r>
              <w:rPr>
                <w:rFonts w:ascii="Times New Roman" w:hAnsi="Times New Roman"/>
                <w:sz w:val="24"/>
              </w:rPr>
              <w:t xml:space="preserve"> </w:t>
            </w:r>
            <w:proofErr w:type="spellStart"/>
            <w:r>
              <w:rPr>
                <w:rFonts w:ascii="Times New Roman" w:hAnsi="Times New Roman"/>
                <w:sz w:val="24"/>
              </w:rPr>
              <w:t>δεν</w:t>
            </w:r>
            <w:proofErr w:type="spellEnd"/>
            <w:r>
              <w:rPr>
                <w:rFonts w:ascii="Times New Roman" w:hAnsi="Times New Roman"/>
                <w:sz w:val="24"/>
              </w:rPr>
              <w:t xml:space="preserve"> π</w:t>
            </w:r>
            <w:proofErr w:type="spellStart"/>
            <w:r>
              <w:rPr>
                <w:rFonts w:ascii="Times New Roman" w:hAnsi="Times New Roman"/>
                <w:sz w:val="24"/>
              </w:rPr>
              <w:t>εριλ</w:t>
            </w:r>
            <w:proofErr w:type="spellEnd"/>
            <w:r>
              <w:rPr>
                <w:rFonts w:ascii="Times New Roman" w:hAnsi="Times New Roman"/>
                <w:sz w:val="24"/>
              </w:rPr>
              <w:t>αμβάνει πα</w:t>
            </w:r>
            <w:proofErr w:type="spellStart"/>
            <w:r>
              <w:rPr>
                <w:rFonts w:ascii="Times New Roman" w:hAnsi="Times New Roman"/>
                <w:sz w:val="24"/>
              </w:rPr>
              <w:t>ράγωγ</w:t>
            </w:r>
            <w:proofErr w:type="spellEnd"/>
            <w:r>
              <w:rPr>
                <w:rFonts w:ascii="Times New Roman" w:hAnsi="Times New Roman"/>
                <w:sz w:val="24"/>
              </w:rPr>
              <w:t xml:space="preserve">α </w:t>
            </w:r>
            <w:proofErr w:type="spellStart"/>
            <w:r>
              <w:rPr>
                <w:rFonts w:ascii="Times New Roman" w:hAnsi="Times New Roman"/>
                <w:sz w:val="24"/>
              </w:rPr>
              <w:t>εμ</w:t>
            </w:r>
            <w:proofErr w:type="spellEnd"/>
            <w:r>
              <w:rPr>
                <w:rFonts w:ascii="Times New Roman" w:hAnsi="Times New Roman"/>
                <w:sz w:val="24"/>
              </w:rPr>
              <w:t>πορευμάτων.</w:t>
            </w:r>
          </w:p>
        </w:tc>
      </w:tr>
      <w:tr w:rsidR="007E1815" w:rsidRPr="007F4CC8" w14:paraId="26AD8E34" w14:textId="77777777" w:rsidTr="00D819DE">
        <w:tc>
          <w:tcPr>
            <w:tcW w:w="1355" w:type="dxa"/>
          </w:tcPr>
          <w:p w14:paraId="67D2AD9F"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28</w:t>
            </w:r>
          </w:p>
        </w:tc>
        <w:tc>
          <w:tcPr>
            <w:tcW w:w="7705" w:type="dxa"/>
          </w:tcPr>
          <w:p w14:paraId="185B88C7"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Στοιχεία ενεργητικού που παρέχονται ως αρχικό περιθώριο για συμβάσεις παραγώγων και εισφορές σε κεφάλαια εκκαθάρισης κεντρικών αντισυμβαλλομένων</w:t>
            </w:r>
          </w:p>
          <w:p w14:paraId="0A9AEFDF" w14:textId="77777777" w:rsidR="007E1815" w:rsidRPr="00AE4F96" w:rsidRDefault="007E1815" w:rsidP="00D819DE">
            <w:pPr>
              <w:pStyle w:val="TableParagraph"/>
              <w:spacing w:after="240"/>
              <w:ind w:right="99"/>
              <w:jc w:val="both"/>
              <w:rPr>
                <w:rFonts w:ascii="Times New Roman" w:hAnsi="Times New Roman"/>
                <w:sz w:val="24"/>
                <w:szCs w:val="24"/>
                <w:lang w:val="el-GR"/>
              </w:rPr>
            </w:pPr>
            <w:r w:rsidRPr="00AE4F96">
              <w:rPr>
                <w:rFonts w:ascii="Times New Roman" w:hAnsi="Times New Roman"/>
                <w:sz w:val="24"/>
                <w:lang w:val="el-GR"/>
              </w:rPr>
              <w:t>Τα ιδρύματα δημοσιοποιούν εδώ το άθροισμα των ακόλουθων ποσών:</w:t>
            </w:r>
          </w:p>
          <w:p w14:paraId="74F0EC9D" w14:textId="77777777" w:rsidR="007E1815" w:rsidRPr="00AE4F96" w:rsidRDefault="007E1815" w:rsidP="007E1815">
            <w:pPr>
              <w:pStyle w:val="ListParagraph"/>
              <w:numPr>
                <w:ilvl w:val="0"/>
                <w:numId w:val="8"/>
              </w:numPr>
              <w:jc w:val="both"/>
              <w:rPr>
                <w:rFonts w:ascii="Times New Roman" w:hAnsi="Times New Roman"/>
                <w:sz w:val="24"/>
                <w:lang w:val="el-GR"/>
              </w:rPr>
            </w:pPr>
            <w:r w:rsidRPr="00AE4F96">
              <w:rPr>
                <w:rFonts w:ascii="Times New Roman" w:hAnsi="Times New Roman"/>
                <w:sz w:val="24"/>
                <w:lang w:val="el-GR"/>
              </w:rPr>
              <w:t>το ποσό της απαιτούμενης σταθερής χρηματοδότησης που προκύπτει από παράγωγα σύμφωνα με τα άρθρα</w:t>
            </w:r>
            <w:r>
              <w:rPr>
                <w:rFonts w:ascii="Times New Roman" w:hAnsi="Times New Roman"/>
                <w:sz w:val="24"/>
              </w:rPr>
              <w:t> </w:t>
            </w:r>
            <w:r w:rsidRPr="00AE4F96">
              <w:rPr>
                <w:rFonts w:ascii="Times New Roman" w:hAnsi="Times New Roman"/>
                <w:sz w:val="24"/>
                <w:lang w:val="el-GR"/>
              </w:rPr>
              <w:t>428δ, 428ιθ παράγραφος</w:t>
            </w:r>
            <w:r>
              <w:rPr>
                <w:rFonts w:ascii="Times New Roman" w:hAnsi="Times New Roman"/>
                <w:sz w:val="24"/>
              </w:rPr>
              <w:t> </w:t>
            </w:r>
            <w:r w:rsidRPr="00AE4F96">
              <w:rPr>
                <w:rFonts w:ascii="Times New Roman" w:hAnsi="Times New Roman"/>
                <w:sz w:val="24"/>
                <w:lang w:val="el-GR"/>
              </w:rPr>
              <w:t>2, 428λγ στοιχείο</w:t>
            </w:r>
            <w:r>
              <w:rPr>
                <w:rFonts w:ascii="Times New Roman" w:hAnsi="Times New Roman"/>
                <w:sz w:val="24"/>
              </w:rPr>
              <w:t> </w:t>
            </w:r>
            <w:r w:rsidRPr="00AE4F96">
              <w:rPr>
                <w:rFonts w:ascii="Times New Roman" w:hAnsi="Times New Roman"/>
                <w:sz w:val="24"/>
                <w:lang w:val="el-GR"/>
              </w:rPr>
              <w:t>α) και 428λδ παράγραφος</w:t>
            </w:r>
            <w:r>
              <w:rPr>
                <w:rFonts w:ascii="Times New Roman" w:hAnsi="Times New Roman"/>
                <w:sz w:val="24"/>
              </w:rPr>
              <w:t> </w:t>
            </w:r>
            <w:r w:rsidRPr="00AE4F96">
              <w:rPr>
                <w:rFonts w:ascii="Times New Roman" w:hAnsi="Times New Roman"/>
                <w:sz w:val="24"/>
                <w:lang w:val="el-GR"/>
              </w:rPr>
              <w:t>2 του ΚΚΑ, το οποίο σχετίζεται με τα αρχικά περιθώρια για συμβάσεις παραγώγων και</w:t>
            </w:r>
          </w:p>
          <w:p w14:paraId="59B2427D" w14:textId="77777777" w:rsidR="007E1815" w:rsidRPr="00AE4F96" w:rsidRDefault="007E1815" w:rsidP="007E1815">
            <w:pPr>
              <w:pStyle w:val="ListParagraph"/>
              <w:numPr>
                <w:ilvl w:val="0"/>
                <w:numId w:val="8"/>
              </w:numPr>
              <w:spacing w:after="240"/>
              <w:jc w:val="both"/>
              <w:rPr>
                <w:rFonts w:ascii="Times New Roman" w:hAnsi="Times New Roman"/>
                <w:sz w:val="24"/>
                <w:lang w:val="el-GR"/>
              </w:rPr>
            </w:pPr>
            <w:r w:rsidRPr="00AE4F96">
              <w:rPr>
                <w:rFonts w:ascii="Times New Roman" w:hAnsi="Times New Roman"/>
                <w:sz w:val="24"/>
                <w:lang w:val="el-GR"/>
              </w:rPr>
              <w:t>το ποσό το οποίο σχετίζεται με τα στοιχεία που προβλέπονται ως εισφορά στο κεφάλαιο εκκαθάρισης κεντρικού αντισυμβαλλομένου σύμφωνα με το άρθρο</w:t>
            </w:r>
            <w:r>
              <w:rPr>
                <w:rFonts w:ascii="Times New Roman" w:hAnsi="Times New Roman"/>
                <w:sz w:val="24"/>
              </w:rPr>
              <w:t> </w:t>
            </w:r>
            <w:r w:rsidRPr="00AE4F96">
              <w:rPr>
                <w:rFonts w:ascii="Times New Roman" w:hAnsi="Times New Roman"/>
                <w:sz w:val="24"/>
                <w:lang w:val="el-GR"/>
              </w:rPr>
              <w:t>428λγ στοιχείο</w:t>
            </w:r>
            <w:r>
              <w:rPr>
                <w:rFonts w:ascii="Times New Roman" w:hAnsi="Times New Roman"/>
                <w:sz w:val="24"/>
              </w:rPr>
              <w:t> </w:t>
            </w:r>
            <w:r w:rsidRPr="00AE4F96">
              <w:rPr>
                <w:rFonts w:ascii="Times New Roman" w:hAnsi="Times New Roman"/>
                <w:sz w:val="24"/>
                <w:lang w:val="el-GR"/>
              </w:rPr>
              <w:t>β) του ΚΚΑ.</w:t>
            </w:r>
          </w:p>
        </w:tc>
      </w:tr>
      <w:tr w:rsidR="007E1815" w:rsidRPr="007F4CC8" w14:paraId="376E3454" w14:textId="77777777" w:rsidTr="00D819DE">
        <w:tc>
          <w:tcPr>
            <w:tcW w:w="1355" w:type="dxa"/>
          </w:tcPr>
          <w:p w14:paraId="6B351DBB"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29</w:t>
            </w:r>
          </w:p>
        </w:tc>
        <w:tc>
          <w:tcPr>
            <w:tcW w:w="7705" w:type="dxa"/>
          </w:tcPr>
          <w:p w14:paraId="6FC27BA7"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 xml:space="preserve">Παράγωγα στοιχεία ενεργητικού στον </w:t>
            </w:r>
            <w:r>
              <w:rPr>
                <w:rFonts w:ascii="Times New Roman" w:hAnsi="Times New Roman"/>
                <w:b/>
                <w:sz w:val="24"/>
              </w:rPr>
              <w:t>NSFR</w:t>
            </w:r>
          </w:p>
          <w:p w14:paraId="130EA517" w14:textId="77777777" w:rsidR="007E1815" w:rsidRPr="00AE4F96" w:rsidRDefault="007E1815" w:rsidP="00D819DE">
            <w:pPr>
              <w:pStyle w:val="TableParagraph"/>
              <w:spacing w:after="240"/>
              <w:ind w:right="99"/>
              <w:jc w:val="both"/>
              <w:rPr>
                <w:rFonts w:ascii="Times New Roman" w:hAnsi="Times New Roman"/>
                <w:sz w:val="24"/>
                <w:szCs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428δ και άρθρο 428λδ παράγραφος</w:t>
            </w:r>
            <w:r>
              <w:rPr>
                <w:rFonts w:ascii="Times New Roman" w:hAnsi="Times New Roman"/>
                <w:sz w:val="24"/>
              </w:rPr>
              <w:t> </w:t>
            </w:r>
            <w:r w:rsidRPr="00AE4F96">
              <w:rPr>
                <w:rFonts w:ascii="Times New Roman" w:hAnsi="Times New Roman"/>
                <w:sz w:val="24"/>
                <w:lang w:val="el-GR"/>
              </w:rPr>
              <w:t>2 του ΚΚΑ</w:t>
            </w:r>
          </w:p>
          <w:p w14:paraId="33E01ABB" w14:textId="77777777" w:rsidR="007E1815" w:rsidRPr="00AE4F96" w:rsidRDefault="007E1815" w:rsidP="00D819DE">
            <w:pPr>
              <w:pStyle w:val="TableParagraph"/>
              <w:spacing w:after="240"/>
              <w:ind w:right="99"/>
              <w:jc w:val="both"/>
              <w:rPr>
                <w:rFonts w:ascii="Times New Roman" w:hAnsi="Times New Roman"/>
                <w:sz w:val="24"/>
                <w:lang w:val="el-GR"/>
              </w:rPr>
            </w:pPr>
            <w:r w:rsidRPr="00AE4F96">
              <w:rPr>
                <w:rFonts w:ascii="Times New Roman" w:hAnsi="Times New Roman"/>
                <w:sz w:val="24"/>
                <w:lang w:val="el-GR"/>
              </w:rPr>
              <w:t>Τα ιδρύματα περιλαμβάνουν εδώ το ποσό της απαιτούμενης σταθερής χρηματοδότησης που προκύπτει από παράγωγα σύμφωνα με το άρθρο 428δ, το άρθρο</w:t>
            </w:r>
            <w:r>
              <w:rPr>
                <w:rFonts w:ascii="Times New Roman" w:hAnsi="Times New Roman"/>
                <w:sz w:val="24"/>
              </w:rPr>
              <w:t> </w:t>
            </w:r>
            <w:r w:rsidRPr="00AE4F96">
              <w:rPr>
                <w:rFonts w:ascii="Times New Roman" w:hAnsi="Times New Roman"/>
                <w:sz w:val="24"/>
                <w:lang w:val="el-GR"/>
              </w:rPr>
              <w:t>428ιθ παράγραφος</w:t>
            </w:r>
            <w:r>
              <w:rPr>
                <w:rFonts w:ascii="Times New Roman" w:hAnsi="Times New Roman"/>
                <w:sz w:val="24"/>
              </w:rPr>
              <w:t> </w:t>
            </w:r>
            <w:r w:rsidRPr="00AE4F96">
              <w:rPr>
                <w:rFonts w:ascii="Times New Roman" w:hAnsi="Times New Roman"/>
                <w:sz w:val="24"/>
                <w:lang w:val="el-GR"/>
              </w:rPr>
              <w:t>2, το άρθρο</w:t>
            </w:r>
            <w:r>
              <w:rPr>
                <w:rFonts w:ascii="Times New Roman" w:hAnsi="Times New Roman"/>
                <w:sz w:val="24"/>
              </w:rPr>
              <w:t> </w:t>
            </w:r>
            <w:r w:rsidRPr="00AE4F96">
              <w:rPr>
                <w:rFonts w:ascii="Times New Roman" w:hAnsi="Times New Roman"/>
                <w:sz w:val="24"/>
                <w:lang w:val="el-GR"/>
              </w:rPr>
              <w:t>428λγ στοιχείο</w:t>
            </w:r>
            <w:r>
              <w:rPr>
                <w:rFonts w:ascii="Times New Roman" w:hAnsi="Times New Roman"/>
                <w:sz w:val="24"/>
              </w:rPr>
              <w:t> </w:t>
            </w:r>
            <w:r w:rsidRPr="00AE4F96">
              <w:rPr>
                <w:rFonts w:ascii="Times New Roman" w:hAnsi="Times New Roman"/>
                <w:sz w:val="24"/>
                <w:lang w:val="el-GR"/>
              </w:rPr>
              <w:t>α) και το άρθρο</w:t>
            </w:r>
            <w:r>
              <w:rPr>
                <w:rFonts w:ascii="Times New Roman" w:hAnsi="Times New Roman"/>
                <w:sz w:val="24"/>
              </w:rPr>
              <w:t> </w:t>
            </w:r>
            <w:r w:rsidRPr="00AE4F96">
              <w:rPr>
                <w:rFonts w:ascii="Times New Roman" w:hAnsi="Times New Roman"/>
                <w:sz w:val="24"/>
                <w:lang w:val="el-GR"/>
              </w:rPr>
              <w:t>428λδ παράγραφος</w:t>
            </w:r>
            <w:r>
              <w:rPr>
                <w:rFonts w:ascii="Times New Roman" w:hAnsi="Times New Roman"/>
                <w:sz w:val="24"/>
              </w:rPr>
              <w:t> </w:t>
            </w:r>
            <w:r w:rsidRPr="00AE4F96">
              <w:rPr>
                <w:rFonts w:ascii="Times New Roman" w:hAnsi="Times New Roman"/>
                <w:sz w:val="24"/>
                <w:lang w:val="el-GR"/>
              </w:rPr>
              <w:t>2 του ΚΚΑ, υπολογιζόμενο ως το απόλυτο ποσό της θετικής διαφοράς μεταξύ συμψηφιστικών συνόλων που υπολογίζονται σύμφωνα με το άρθρο</w:t>
            </w:r>
            <w:r>
              <w:rPr>
                <w:rFonts w:ascii="Times New Roman" w:hAnsi="Times New Roman"/>
                <w:sz w:val="24"/>
              </w:rPr>
              <w:t> </w:t>
            </w:r>
            <w:r w:rsidRPr="00AE4F96">
              <w:rPr>
                <w:rFonts w:ascii="Times New Roman" w:hAnsi="Times New Roman"/>
                <w:sz w:val="24"/>
                <w:lang w:val="el-GR"/>
              </w:rPr>
              <w:t>428λδ παράγραφος</w:t>
            </w:r>
            <w:r>
              <w:rPr>
                <w:rFonts w:ascii="Times New Roman" w:hAnsi="Times New Roman"/>
                <w:sz w:val="24"/>
              </w:rPr>
              <w:t> </w:t>
            </w:r>
            <w:r w:rsidRPr="00AE4F96">
              <w:rPr>
                <w:rFonts w:ascii="Times New Roman" w:hAnsi="Times New Roman"/>
                <w:sz w:val="24"/>
                <w:lang w:val="el-GR"/>
              </w:rPr>
              <w:t>2 του ΚΚΑ.</w:t>
            </w:r>
          </w:p>
        </w:tc>
      </w:tr>
      <w:tr w:rsidR="007E1815" w:rsidRPr="007F4CC8" w14:paraId="68225B13" w14:textId="77777777" w:rsidTr="00D819DE">
        <w:tc>
          <w:tcPr>
            <w:tcW w:w="1355" w:type="dxa"/>
          </w:tcPr>
          <w:p w14:paraId="19DA3D6E"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30</w:t>
            </w:r>
          </w:p>
        </w:tc>
        <w:tc>
          <w:tcPr>
            <w:tcW w:w="7705" w:type="dxa"/>
          </w:tcPr>
          <w:p w14:paraId="6473604D"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 xml:space="preserve">Παράγωγα στοιχεία παθητικού στον </w:t>
            </w:r>
            <w:r>
              <w:rPr>
                <w:rFonts w:ascii="Times New Roman" w:hAnsi="Times New Roman"/>
                <w:b/>
                <w:sz w:val="24"/>
              </w:rPr>
              <w:t>NSFR</w:t>
            </w:r>
            <w:r w:rsidRPr="00AE4F96">
              <w:rPr>
                <w:rFonts w:ascii="Times New Roman" w:hAnsi="Times New Roman"/>
                <w:b/>
                <w:sz w:val="24"/>
                <w:lang w:val="el-GR"/>
              </w:rPr>
              <w:t xml:space="preserve"> πριν από την αφαίρεση του προβλεπόμενου περιθωρίου διακύμανσης</w:t>
            </w:r>
          </w:p>
          <w:p w14:paraId="394264C8" w14:textId="77777777" w:rsidR="007E1815" w:rsidRPr="00AE4F96" w:rsidRDefault="007E1815" w:rsidP="00D819DE">
            <w:pPr>
              <w:pStyle w:val="TableParagraph"/>
              <w:spacing w:after="240"/>
              <w:ind w:right="99"/>
              <w:jc w:val="both"/>
              <w:rPr>
                <w:rFonts w:ascii="Times New Roman" w:hAnsi="Times New Roman"/>
                <w:sz w:val="24"/>
                <w:szCs w:val="24"/>
                <w:lang w:val="el-GR"/>
              </w:rPr>
            </w:pPr>
            <w:r w:rsidRPr="00AE4F96">
              <w:rPr>
                <w:rFonts w:ascii="Times New Roman" w:hAnsi="Times New Roman"/>
                <w:sz w:val="24"/>
                <w:lang w:val="el-GR"/>
              </w:rPr>
              <w:t>Άρθρο</w:t>
            </w:r>
            <w:r>
              <w:rPr>
                <w:rFonts w:ascii="Times New Roman" w:hAnsi="Times New Roman"/>
                <w:sz w:val="24"/>
              </w:rPr>
              <w:t> </w:t>
            </w:r>
            <w:r w:rsidRPr="00AE4F96">
              <w:rPr>
                <w:rFonts w:ascii="Times New Roman" w:hAnsi="Times New Roman"/>
                <w:sz w:val="24"/>
                <w:lang w:val="el-GR"/>
              </w:rPr>
              <w:t>428ιθ παράγραφος</w:t>
            </w:r>
            <w:r>
              <w:rPr>
                <w:rFonts w:ascii="Times New Roman" w:hAnsi="Times New Roman"/>
                <w:sz w:val="24"/>
              </w:rPr>
              <w:t> </w:t>
            </w:r>
            <w:r w:rsidRPr="00AE4F96">
              <w:rPr>
                <w:rFonts w:ascii="Times New Roman" w:hAnsi="Times New Roman"/>
                <w:sz w:val="24"/>
                <w:lang w:val="el-GR"/>
              </w:rPr>
              <w:t>2 του ΚΚΑ</w:t>
            </w:r>
          </w:p>
          <w:p w14:paraId="43211B55"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το ποσό της απαιτούμενης σταθερής χρηματοδότησης που σχετίζεται με παράγωγα στοιχεία παθητικού σύμφωνα με το άρθρο</w:t>
            </w:r>
            <w:r>
              <w:rPr>
                <w:rFonts w:ascii="Times New Roman" w:hAnsi="Times New Roman"/>
                <w:sz w:val="24"/>
              </w:rPr>
              <w:t> </w:t>
            </w:r>
            <w:r w:rsidRPr="00AE4F96">
              <w:rPr>
                <w:rFonts w:ascii="Times New Roman" w:hAnsi="Times New Roman"/>
                <w:sz w:val="24"/>
                <w:lang w:val="el-GR"/>
              </w:rPr>
              <w:t>428δ, το άρθρο</w:t>
            </w:r>
            <w:r>
              <w:rPr>
                <w:rFonts w:ascii="Times New Roman" w:hAnsi="Times New Roman"/>
                <w:sz w:val="24"/>
              </w:rPr>
              <w:t> </w:t>
            </w:r>
            <w:r w:rsidRPr="00AE4F96">
              <w:rPr>
                <w:rFonts w:ascii="Times New Roman" w:hAnsi="Times New Roman"/>
                <w:sz w:val="24"/>
                <w:lang w:val="el-GR"/>
              </w:rPr>
              <w:t>428ιθ παράγραφος</w:t>
            </w:r>
            <w:r>
              <w:rPr>
                <w:rFonts w:ascii="Times New Roman" w:hAnsi="Times New Roman"/>
                <w:sz w:val="24"/>
              </w:rPr>
              <w:t> </w:t>
            </w:r>
            <w:r w:rsidRPr="00AE4F96">
              <w:rPr>
                <w:rFonts w:ascii="Times New Roman" w:hAnsi="Times New Roman"/>
                <w:sz w:val="24"/>
                <w:lang w:val="el-GR"/>
              </w:rPr>
              <w:t>2, το άρθρο</w:t>
            </w:r>
            <w:r>
              <w:rPr>
                <w:rFonts w:ascii="Times New Roman" w:hAnsi="Times New Roman"/>
                <w:sz w:val="24"/>
              </w:rPr>
              <w:t> </w:t>
            </w:r>
            <w:r w:rsidRPr="00AE4F96">
              <w:rPr>
                <w:rFonts w:ascii="Times New Roman" w:hAnsi="Times New Roman"/>
                <w:sz w:val="24"/>
                <w:lang w:val="el-GR"/>
              </w:rPr>
              <w:t>428λγ στοιχείο</w:t>
            </w:r>
            <w:r>
              <w:rPr>
                <w:rFonts w:ascii="Times New Roman" w:hAnsi="Times New Roman"/>
                <w:sz w:val="24"/>
              </w:rPr>
              <w:t> </w:t>
            </w:r>
            <w:r w:rsidRPr="00AE4F96">
              <w:rPr>
                <w:rFonts w:ascii="Times New Roman" w:hAnsi="Times New Roman"/>
                <w:sz w:val="24"/>
                <w:lang w:val="el-GR"/>
              </w:rPr>
              <w:t>α) και το άρθρο</w:t>
            </w:r>
            <w:r>
              <w:rPr>
                <w:rFonts w:ascii="Times New Roman" w:hAnsi="Times New Roman"/>
                <w:sz w:val="24"/>
              </w:rPr>
              <w:t> </w:t>
            </w:r>
            <w:r w:rsidRPr="00AE4F96">
              <w:rPr>
                <w:rFonts w:ascii="Times New Roman" w:hAnsi="Times New Roman"/>
                <w:sz w:val="24"/>
                <w:lang w:val="el-GR"/>
              </w:rPr>
              <w:t>428λδ παράγραφος</w:t>
            </w:r>
            <w:r>
              <w:rPr>
                <w:rFonts w:ascii="Times New Roman" w:hAnsi="Times New Roman"/>
                <w:sz w:val="24"/>
              </w:rPr>
              <w:t> </w:t>
            </w:r>
            <w:r w:rsidRPr="00AE4F96">
              <w:rPr>
                <w:rFonts w:ascii="Times New Roman" w:hAnsi="Times New Roman"/>
                <w:sz w:val="24"/>
                <w:lang w:val="el-GR"/>
              </w:rPr>
              <w:t xml:space="preserve">2 του ΚΚΑ, το οποίο είναι το απόλυτο ποσό </w:t>
            </w:r>
            <w:r w:rsidRPr="00AE4F96">
              <w:rPr>
                <w:rFonts w:ascii="Times New Roman" w:hAnsi="Times New Roman"/>
                <w:sz w:val="24"/>
                <w:lang w:val="el-GR"/>
              </w:rPr>
              <w:lastRenderedPageBreak/>
              <w:t>των συμψηφιστικών συνόλων με αρνητική εύλογη αξία υπολογιζόμενων σύμφωνα με το άρθρο</w:t>
            </w:r>
            <w:r>
              <w:rPr>
                <w:rFonts w:ascii="Times New Roman" w:hAnsi="Times New Roman"/>
                <w:sz w:val="24"/>
              </w:rPr>
              <w:t> </w:t>
            </w:r>
            <w:r w:rsidRPr="00AE4F96">
              <w:rPr>
                <w:rFonts w:ascii="Times New Roman" w:hAnsi="Times New Roman"/>
                <w:sz w:val="24"/>
                <w:lang w:val="el-GR"/>
              </w:rPr>
              <w:t>428ιθ παράγραφος</w:t>
            </w:r>
            <w:r>
              <w:rPr>
                <w:rFonts w:ascii="Times New Roman" w:hAnsi="Times New Roman"/>
                <w:sz w:val="24"/>
              </w:rPr>
              <w:t> </w:t>
            </w:r>
            <w:r w:rsidRPr="00AE4F96">
              <w:rPr>
                <w:rFonts w:ascii="Times New Roman" w:hAnsi="Times New Roman"/>
                <w:sz w:val="24"/>
                <w:lang w:val="el-GR"/>
              </w:rPr>
              <w:t>2 του ΚΚΑ.</w:t>
            </w:r>
          </w:p>
        </w:tc>
      </w:tr>
      <w:tr w:rsidR="007E1815" w:rsidRPr="007F4CC8" w14:paraId="12F08601" w14:textId="77777777" w:rsidTr="00D819DE">
        <w:tc>
          <w:tcPr>
            <w:tcW w:w="1355" w:type="dxa"/>
          </w:tcPr>
          <w:p w14:paraId="090CE7E2"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lastRenderedPageBreak/>
              <w:t>31</w:t>
            </w:r>
          </w:p>
        </w:tc>
        <w:tc>
          <w:tcPr>
            <w:tcW w:w="7705" w:type="dxa"/>
          </w:tcPr>
          <w:p w14:paraId="4F2885DE"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Όλα τα άλλα στοιχεία ενεργητικού που δεν περιλαμβάνονται στις ανωτέρω κατηγορίες</w:t>
            </w:r>
          </w:p>
          <w:p w14:paraId="60A47B66" w14:textId="77777777" w:rsidR="007E1815" w:rsidRPr="00AE4F96" w:rsidRDefault="007E1815" w:rsidP="00D819DE">
            <w:pPr>
              <w:jc w:val="both"/>
              <w:rPr>
                <w:rFonts w:ascii="Times New Roman" w:hAnsi="Times New Roman"/>
                <w:sz w:val="24"/>
                <w:lang w:val="el-GR"/>
              </w:rPr>
            </w:pPr>
            <w:r w:rsidRPr="00AE4F96">
              <w:rPr>
                <w:rFonts w:ascii="Times New Roman" w:hAnsi="Times New Roman"/>
                <w:sz w:val="24"/>
                <w:lang w:val="el-GR"/>
              </w:rPr>
              <w:t>Τα ιδρύματα περιλαμβάνουν εδώ το άθροισμα των ακόλουθων στοιχείων:</w:t>
            </w:r>
          </w:p>
          <w:p w14:paraId="211EEB85" w14:textId="77777777" w:rsidR="007E1815" w:rsidRPr="00AE4F96" w:rsidRDefault="007E1815" w:rsidP="007E1815">
            <w:pPr>
              <w:pStyle w:val="ListParagraph"/>
              <w:numPr>
                <w:ilvl w:val="0"/>
                <w:numId w:val="11"/>
              </w:numPr>
              <w:jc w:val="both"/>
              <w:rPr>
                <w:rFonts w:ascii="Times New Roman" w:hAnsi="Times New Roman"/>
                <w:sz w:val="24"/>
                <w:lang w:val="el-GR"/>
              </w:rPr>
            </w:pPr>
            <w:r w:rsidRPr="00AE4F96">
              <w:rPr>
                <w:rFonts w:ascii="Times New Roman" w:hAnsi="Times New Roman"/>
                <w:sz w:val="24"/>
                <w:lang w:val="el-GR"/>
              </w:rPr>
              <w:t>εισπρακτέες απαιτήσεις κατά την ημερομηνία συναλλαγής, σύμφωνα με το άρθρο</w:t>
            </w:r>
            <w:r>
              <w:rPr>
                <w:rFonts w:ascii="Times New Roman" w:hAnsi="Times New Roman"/>
                <w:sz w:val="24"/>
              </w:rPr>
              <w:t> </w:t>
            </w:r>
            <w:r w:rsidRPr="00AE4F96">
              <w:rPr>
                <w:rFonts w:ascii="Times New Roman" w:hAnsi="Times New Roman"/>
                <w:sz w:val="24"/>
                <w:lang w:val="el-GR"/>
              </w:rPr>
              <w:t>428ιη παράγραφος</w:t>
            </w:r>
            <w:r>
              <w:rPr>
                <w:rFonts w:ascii="Times New Roman" w:hAnsi="Times New Roman"/>
                <w:sz w:val="24"/>
              </w:rPr>
              <w:t> </w:t>
            </w:r>
            <w:r w:rsidRPr="00AE4F96">
              <w:rPr>
                <w:rFonts w:ascii="Times New Roman" w:hAnsi="Times New Roman"/>
                <w:sz w:val="24"/>
                <w:lang w:val="el-GR"/>
              </w:rPr>
              <w:t>1 στοιχείο</w:t>
            </w:r>
            <w:r>
              <w:rPr>
                <w:rFonts w:ascii="Times New Roman" w:hAnsi="Times New Roman"/>
                <w:sz w:val="24"/>
              </w:rPr>
              <w:t> </w:t>
            </w:r>
            <w:r w:rsidRPr="00AE4F96">
              <w:rPr>
                <w:rFonts w:ascii="Times New Roman" w:hAnsi="Times New Roman"/>
                <w:sz w:val="24"/>
                <w:lang w:val="el-GR"/>
              </w:rPr>
              <w:t>ε) του ΚΚΑ,</w:t>
            </w:r>
          </w:p>
          <w:p w14:paraId="3A3E23A2" w14:textId="77777777" w:rsidR="007E1815" w:rsidRPr="00AE4F96" w:rsidRDefault="007E1815" w:rsidP="007E1815">
            <w:pPr>
              <w:pStyle w:val="ListParagraph"/>
              <w:numPr>
                <w:ilvl w:val="0"/>
                <w:numId w:val="11"/>
              </w:numPr>
              <w:jc w:val="both"/>
              <w:rPr>
                <w:rFonts w:ascii="Times New Roman" w:hAnsi="Times New Roman"/>
                <w:sz w:val="24"/>
                <w:lang w:val="el-GR"/>
              </w:rPr>
            </w:pPr>
            <w:r w:rsidRPr="00AE4F96">
              <w:rPr>
                <w:rFonts w:ascii="Times New Roman" w:hAnsi="Times New Roman"/>
                <w:sz w:val="24"/>
                <w:lang w:val="el-GR"/>
              </w:rPr>
              <w:t>μη εξυπηρετούμενα στοιχεία ενεργητικού σύμφωνα με το άρθρο</w:t>
            </w:r>
            <w:r>
              <w:rPr>
                <w:rFonts w:ascii="Times New Roman" w:hAnsi="Times New Roman"/>
                <w:sz w:val="24"/>
              </w:rPr>
              <w:t> </w:t>
            </w:r>
            <w:r w:rsidRPr="00AE4F96">
              <w:rPr>
                <w:rFonts w:ascii="Times New Roman" w:hAnsi="Times New Roman"/>
                <w:sz w:val="24"/>
                <w:lang w:val="el-GR"/>
              </w:rPr>
              <w:t>428λδ παράγραφος</w:t>
            </w:r>
            <w:r>
              <w:rPr>
                <w:rFonts w:ascii="Times New Roman" w:hAnsi="Times New Roman"/>
                <w:sz w:val="24"/>
              </w:rPr>
              <w:t> </w:t>
            </w:r>
            <w:r w:rsidRPr="00AE4F96">
              <w:rPr>
                <w:rFonts w:ascii="Times New Roman" w:hAnsi="Times New Roman"/>
                <w:sz w:val="24"/>
                <w:lang w:val="el-GR"/>
              </w:rPr>
              <w:t>1 στοιχείο</w:t>
            </w:r>
            <w:r>
              <w:rPr>
                <w:rFonts w:ascii="Times New Roman" w:hAnsi="Times New Roman"/>
                <w:sz w:val="24"/>
              </w:rPr>
              <w:t> </w:t>
            </w:r>
            <w:r w:rsidRPr="00AE4F96">
              <w:rPr>
                <w:rFonts w:ascii="Times New Roman" w:hAnsi="Times New Roman"/>
                <w:sz w:val="24"/>
                <w:lang w:val="el-GR"/>
              </w:rPr>
              <w:t>β) του ΚΚΑ,</w:t>
            </w:r>
          </w:p>
          <w:p w14:paraId="7CE9E147" w14:textId="77777777" w:rsidR="007E1815" w:rsidRPr="00AE4F96" w:rsidRDefault="007E1815" w:rsidP="007E1815">
            <w:pPr>
              <w:pStyle w:val="ListParagraph"/>
              <w:numPr>
                <w:ilvl w:val="0"/>
                <w:numId w:val="11"/>
              </w:numPr>
              <w:jc w:val="both"/>
              <w:rPr>
                <w:rFonts w:ascii="Times New Roman" w:hAnsi="Times New Roman"/>
                <w:sz w:val="24"/>
                <w:lang w:val="el-GR"/>
              </w:rPr>
            </w:pPr>
            <w:r w:rsidRPr="00AE4F96">
              <w:rPr>
                <w:rFonts w:ascii="Times New Roman" w:hAnsi="Times New Roman"/>
                <w:sz w:val="24"/>
                <w:lang w:val="el-GR"/>
              </w:rPr>
              <w:t xml:space="preserve">αποθεματικά σε κεντρικές τράπεζες που δεν θεωρούνται </w:t>
            </w:r>
            <w:r>
              <w:rPr>
                <w:rFonts w:ascii="Times New Roman" w:hAnsi="Times New Roman"/>
                <w:sz w:val="24"/>
              </w:rPr>
              <w:t>HQLA</w:t>
            </w:r>
            <w:r w:rsidRPr="00AE4F96">
              <w:rPr>
                <w:rFonts w:ascii="Times New Roman" w:hAnsi="Times New Roman"/>
                <w:sz w:val="24"/>
                <w:lang w:val="el-GR"/>
              </w:rPr>
              <w:t>, και</w:t>
            </w:r>
          </w:p>
          <w:p w14:paraId="3374626C" w14:textId="77777777" w:rsidR="007E1815" w:rsidRPr="00AE4F96" w:rsidRDefault="007E1815" w:rsidP="007E1815">
            <w:pPr>
              <w:pStyle w:val="ListParagraph"/>
              <w:numPr>
                <w:ilvl w:val="0"/>
                <w:numId w:val="11"/>
              </w:numPr>
              <w:spacing w:after="240"/>
              <w:jc w:val="both"/>
              <w:rPr>
                <w:rFonts w:ascii="Times New Roman" w:hAnsi="Times New Roman"/>
                <w:sz w:val="24"/>
                <w:lang w:val="el-GR"/>
              </w:rPr>
            </w:pPr>
            <w:r w:rsidRPr="00AE4F96">
              <w:rPr>
                <w:rFonts w:ascii="Times New Roman" w:hAnsi="Times New Roman"/>
                <w:sz w:val="24"/>
                <w:lang w:val="el-GR"/>
              </w:rPr>
              <w:t>άλλα στοιχεία ενεργητικού που δεν αναφέρονται στα προηγούμενα στοιχεία που αναγράφονται παραπάνω.</w:t>
            </w:r>
          </w:p>
        </w:tc>
      </w:tr>
      <w:tr w:rsidR="007E1815" w:rsidRPr="007F4CC8" w14:paraId="107FAB0B" w14:textId="77777777" w:rsidTr="00D819DE">
        <w:tc>
          <w:tcPr>
            <w:tcW w:w="1355" w:type="dxa"/>
          </w:tcPr>
          <w:p w14:paraId="305193C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32</w:t>
            </w:r>
          </w:p>
        </w:tc>
        <w:tc>
          <w:tcPr>
            <w:tcW w:w="7705" w:type="dxa"/>
          </w:tcPr>
          <w:p w14:paraId="449E2037" w14:textId="77777777" w:rsidR="007E1815" w:rsidRPr="00AE4F96" w:rsidRDefault="007E1815" w:rsidP="00D819DE">
            <w:pPr>
              <w:spacing w:after="240"/>
              <w:jc w:val="both"/>
              <w:rPr>
                <w:rFonts w:ascii="Times New Roman" w:hAnsi="Times New Roman"/>
                <w:b/>
                <w:sz w:val="24"/>
                <w:lang w:val="el-GR"/>
              </w:rPr>
            </w:pPr>
            <w:r w:rsidRPr="00AE4F96">
              <w:rPr>
                <w:rFonts w:ascii="Times New Roman" w:hAnsi="Times New Roman"/>
                <w:b/>
                <w:sz w:val="24"/>
                <w:lang w:val="el-GR"/>
              </w:rPr>
              <w:t>Στοιχεία εκτός ισολογισμού</w:t>
            </w:r>
          </w:p>
          <w:p w14:paraId="0146B44D"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sz w:val="24"/>
                <w:lang w:val="el-GR"/>
              </w:rPr>
              <w:t>Τα ιδρύματα δημοσιοποιούν εδώ το ποσό των στοιχείων εκτός ισολογισμού που υπόκεινται στις απαιτήσεις της απαιτούμενης σταθερής χρηματοδότησης.</w:t>
            </w:r>
          </w:p>
        </w:tc>
      </w:tr>
      <w:tr w:rsidR="007E1815" w:rsidRPr="007F4CC8" w14:paraId="3AA0FBAF" w14:textId="77777777" w:rsidTr="00D819DE">
        <w:tc>
          <w:tcPr>
            <w:tcW w:w="1355" w:type="dxa"/>
          </w:tcPr>
          <w:p w14:paraId="0CD179E6"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33</w:t>
            </w:r>
          </w:p>
        </w:tc>
        <w:tc>
          <w:tcPr>
            <w:tcW w:w="7705" w:type="dxa"/>
          </w:tcPr>
          <w:p w14:paraId="5B3E34AC"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Συνολική απαιτούμενη σταθερή χρηματοδότηση (</w:t>
            </w:r>
            <w:r>
              <w:rPr>
                <w:rFonts w:ascii="Times New Roman" w:hAnsi="Times New Roman"/>
                <w:b/>
                <w:sz w:val="24"/>
              </w:rPr>
              <w:t>RSF</w:t>
            </w:r>
            <w:r w:rsidRPr="00AE4F96">
              <w:rPr>
                <w:rFonts w:ascii="Times New Roman" w:hAnsi="Times New Roman"/>
                <w:b/>
                <w:sz w:val="24"/>
                <w:lang w:val="el-GR"/>
              </w:rPr>
              <w:t>)</w:t>
            </w:r>
          </w:p>
          <w:p w14:paraId="7C7790F2" w14:textId="77777777" w:rsidR="007E1815" w:rsidRPr="00AE4F96" w:rsidRDefault="007E1815" w:rsidP="00D819DE">
            <w:pPr>
              <w:pStyle w:val="TableParagraph"/>
              <w:spacing w:after="240"/>
              <w:jc w:val="both"/>
              <w:rPr>
                <w:rFonts w:ascii="Times New Roman" w:eastAsia="Times New Roman" w:hAnsi="Times New Roman"/>
                <w:sz w:val="24"/>
                <w:szCs w:val="24"/>
                <w:lang w:val="el-GR"/>
              </w:rPr>
            </w:pPr>
            <w:r w:rsidRPr="00AE4F96">
              <w:rPr>
                <w:rFonts w:ascii="Times New Roman" w:hAnsi="Times New Roman"/>
                <w:sz w:val="24"/>
                <w:lang w:val="el-GR"/>
              </w:rPr>
              <w:t>Έκτο μέρος τίτλος</w:t>
            </w:r>
            <w:r>
              <w:rPr>
                <w:rFonts w:ascii="Times New Roman" w:hAnsi="Times New Roman"/>
                <w:sz w:val="24"/>
              </w:rPr>
              <w:t> IV</w:t>
            </w:r>
            <w:r w:rsidRPr="00AE4F96">
              <w:rPr>
                <w:rFonts w:ascii="Times New Roman" w:hAnsi="Times New Roman"/>
                <w:sz w:val="24"/>
                <w:lang w:val="el-GR"/>
              </w:rPr>
              <w:t xml:space="preserve"> κεφάλαιο</w:t>
            </w:r>
            <w:r>
              <w:rPr>
                <w:rFonts w:ascii="Times New Roman" w:hAnsi="Times New Roman"/>
                <w:sz w:val="24"/>
              </w:rPr>
              <w:t> </w:t>
            </w:r>
            <w:r w:rsidRPr="00AE4F96">
              <w:rPr>
                <w:rFonts w:ascii="Times New Roman" w:hAnsi="Times New Roman"/>
                <w:sz w:val="24"/>
                <w:lang w:val="el-GR"/>
              </w:rPr>
              <w:t>4 του ΚΚΑ</w:t>
            </w:r>
          </w:p>
          <w:p w14:paraId="12009000"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Τα ιδρύματα περιλαμβάνουν εδώ</w:t>
            </w:r>
            <w:r w:rsidRPr="00AE4F96">
              <w:rPr>
                <w:lang w:val="el-GR"/>
              </w:rPr>
              <w:t xml:space="preserve"> </w:t>
            </w:r>
            <w:r w:rsidRPr="00AE4F96">
              <w:rPr>
                <w:rFonts w:ascii="Times New Roman" w:hAnsi="Times New Roman"/>
                <w:sz w:val="24"/>
                <w:lang w:val="el-GR"/>
              </w:rPr>
              <w:t>το σύνολο των στοιχείων που υπόκεινται στις απαιτήσεις της απαιτούμενης σταθερής χρηματοδότησης σύμφωνα με το έκτο μέρος τίτλος</w:t>
            </w:r>
            <w:r>
              <w:rPr>
                <w:rFonts w:ascii="Times New Roman" w:hAnsi="Times New Roman"/>
                <w:sz w:val="24"/>
              </w:rPr>
              <w:t> IV</w:t>
            </w:r>
            <w:r w:rsidRPr="00AE4F96">
              <w:rPr>
                <w:rFonts w:ascii="Times New Roman" w:hAnsi="Times New Roman"/>
                <w:sz w:val="24"/>
                <w:lang w:val="el-GR"/>
              </w:rPr>
              <w:t xml:space="preserve"> κεφάλαιο</w:t>
            </w:r>
            <w:r>
              <w:rPr>
                <w:rFonts w:ascii="Times New Roman" w:hAnsi="Times New Roman"/>
                <w:sz w:val="24"/>
              </w:rPr>
              <w:t> </w:t>
            </w:r>
            <w:r w:rsidRPr="00AE4F96">
              <w:rPr>
                <w:rFonts w:ascii="Times New Roman" w:hAnsi="Times New Roman"/>
                <w:sz w:val="24"/>
                <w:lang w:val="el-GR"/>
              </w:rPr>
              <w:t>4 του ΚΚΑ (άθροισμα των ποσών στις γραμμές</w:t>
            </w:r>
            <w:r>
              <w:rPr>
                <w:rFonts w:ascii="Times New Roman" w:hAnsi="Times New Roman"/>
                <w:sz w:val="24"/>
              </w:rPr>
              <w:t> </w:t>
            </w:r>
            <w:r w:rsidRPr="00AE4F96">
              <w:rPr>
                <w:rFonts w:ascii="Times New Roman" w:hAnsi="Times New Roman"/>
                <w:sz w:val="24"/>
                <w:lang w:val="el-GR"/>
              </w:rPr>
              <w:t xml:space="preserve">15, </w:t>
            </w:r>
            <w:r>
              <w:rPr>
                <w:rFonts w:ascii="Times New Roman" w:hAnsi="Times New Roman"/>
                <w:sz w:val="24"/>
              </w:rPr>
              <w:t>EU</w:t>
            </w:r>
            <w:r w:rsidRPr="00AE4F96">
              <w:rPr>
                <w:rFonts w:ascii="Times New Roman" w:hAnsi="Times New Roman"/>
                <w:sz w:val="24"/>
                <w:lang w:val="el-GR"/>
              </w:rPr>
              <w:t>-15α, 16, 17, 25, 26 και 32 του παρόντος υποδείγματος).</w:t>
            </w:r>
          </w:p>
        </w:tc>
      </w:tr>
      <w:tr w:rsidR="007E1815" w:rsidRPr="007F4CC8" w14:paraId="3116BCED" w14:textId="77777777" w:rsidTr="00D819DE">
        <w:trPr>
          <w:trHeight w:val="274"/>
        </w:trPr>
        <w:tc>
          <w:tcPr>
            <w:tcW w:w="1355" w:type="dxa"/>
          </w:tcPr>
          <w:p w14:paraId="4CE43E71" w14:textId="77777777" w:rsidR="007E1815" w:rsidRPr="007F4CC8" w:rsidRDefault="007E1815" w:rsidP="00D819DE">
            <w:pPr>
              <w:spacing w:after="240"/>
              <w:jc w:val="both"/>
              <w:rPr>
                <w:rFonts w:ascii="Times New Roman" w:hAnsi="Times New Roman"/>
                <w:sz w:val="24"/>
              </w:rPr>
            </w:pPr>
            <w:r>
              <w:rPr>
                <w:rFonts w:ascii="Times New Roman" w:hAnsi="Times New Roman"/>
                <w:sz w:val="24"/>
              </w:rPr>
              <w:t>34</w:t>
            </w:r>
          </w:p>
        </w:tc>
        <w:tc>
          <w:tcPr>
            <w:tcW w:w="7705" w:type="dxa"/>
          </w:tcPr>
          <w:p w14:paraId="6B3C5508" w14:textId="77777777" w:rsidR="007E1815" w:rsidRPr="00AE4F96" w:rsidRDefault="007E1815" w:rsidP="00D819DE">
            <w:pPr>
              <w:spacing w:after="240"/>
              <w:jc w:val="both"/>
              <w:rPr>
                <w:rFonts w:ascii="Times New Roman" w:hAnsi="Times New Roman"/>
                <w:sz w:val="24"/>
                <w:lang w:val="el-GR"/>
              </w:rPr>
            </w:pPr>
            <w:r w:rsidRPr="00AE4F96">
              <w:rPr>
                <w:rFonts w:ascii="Times New Roman" w:hAnsi="Times New Roman"/>
                <w:b/>
                <w:sz w:val="24"/>
                <w:lang w:val="el-GR"/>
              </w:rPr>
              <w:t>Δείκτης καθαρής σταθερής χρηματοδότησης (%)</w:t>
            </w:r>
          </w:p>
          <w:p w14:paraId="049707E6" w14:textId="77777777" w:rsidR="007E1815" w:rsidRPr="00AE4F96" w:rsidRDefault="007E1815" w:rsidP="00D819DE">
            <w:pPr>
              <w:pStyle w:val="TableParagraph"/>
              <w:spacing w:after="240"/>
              <w:jc w:val="both"/>
              <w:rPr>
                <w:rFonts w:ascii="Times New Roman" w:hAnsi="Times New Roman"/>
                <w:sz w:val="24"/>
                <w:szCs w:val="24"/>
                <w:lang w:val="el-GR"/>
              </w:rPr>
            </w:pPr>
            <w:r w:rsidRPr="00AE4F96">
              <w:rPr>
                <w:rFonts w:ascii="Times New Roman" w:hAnsi="Times New Roman"/>
                <w:sz w:val="24"/>
                <w:lang w:val="el-GR"/>
              </w:rPr>
              <w:t xml:space="preserve">Ο </w:t>
            </w:r>
            <w:r>
              <w:rPr>
                <w:rFonts w:ascii="Times New Roman" w:hAnsi="Times New Roman"/>
                <w:sz w:val="24"/>
              </w:rPr>
              <w:t>NSFR</w:t>
            </w:r>
            <w:r w:rsidRPr="00AE4F96">
              <w:rPr>
                <w:rFonts w:ascii="Times New Roman" w:hAnsi="Times New Roman"/>
                <w:sz w:val="24"/>
                <w:lang w:val="el-GR"/>
              </w:rPr>
              <w:t xml:space="preserve"> υπολογίζεται σύμφωνα με το άρθρο</w:t>
            </w:r>
            <w:r>
              <w:rPr>
                <w:rFonts w:ascii="Times New Roman" w:hAnsi="Times New Roman"/>
                <w:sz w:val="24"/>
              </w:rPr>
              <w:t> </w:t>
            </w:r>
            <w:r w:rsidRPr="00AE4F96">
              <w:rPr>
                <w:rFonts w:ascii="Times New Roman" w:hAnsi="Times New Roman"/>
                <w:sz w:val="24"/>
                <w:lang w:val="el-GR"/>
              </w:rPr>
              <w:t>428β παράγραφος</w:t>
            </w:r>
            <w:r>
              <w:rPr>
                <w:rFonts w:ascii="Times New Roman" w:hAnsi="Times New Roman"/>
                <w:sz w:val="24"/>
              </w:rPr>
              <w:t> </w:t>
            </w:r>
            <w:r w:rsidRPr="00AE4F96">
              <w:rPr>
                <w:rFonts w:ascii="Times New Roman" w:hAnsi="Times New Roman"/>
                <w:sz w:val="24"/>
                <w:lang w:val="el-GR"/>
              </w:rPr>
              <w:t>1 του ΚΚΑ</w:t>
            </w:r>
          </w:p>
        </w:tc>
      </w:tr>
    </w:tbl>
    <w:p w14:paraId="505A96AE" w14:textId="77777777" w:rsidR="004E3F4D" w:rsidRDefault="004E3F4D"/>
    <w:sectPr w:rsidR="004E3F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7252" w14:textId="77777777" w:rsidR="00E35FAE" w:rsidRDefault="00E35FAE" w:rsidP="007E1815">
      <w:r>
        <w:separator/>
      </w:r>
    </w:p>
  </w:endnote>
  <w:endnote w:type="continuationSeparator" w:id="0">
    <w:p w14:paraId="7D1B336F" w14:textId="77777777" w:rsidR="00E35FAE" w:rsidRDefault="00E35FAE" w:rsidP="007E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9CB8" w14:textId="77777777" w:rsidR="007E1815" w:rsidRDefault="007E18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424501"/>
      <w:docPartObj>
        <w:docPartGallery w:val="Page Numbers (Bottom of Page)"/>
        <w:docPartUnique/>
      </w:docPartObj>
    </w:sdtPr>
    <w:sdtEndPr>
      <w:rPr>
        <w:noProof/>
      </w:rPr>
    </w:sdtEndPr>
    <w:sdtContent>
      <w:p w14:paraId="02140FDE" w14:textId="77777777" w:rsidR="007E1815" w:rsidRDefault="007E1815">
        <w:pPr>
          <w:pStyle w:val="Footer"/>
          <w:jc w:val="right"/>
        </w:pPr>
        <w:r>
          <w:fldChar w:fldCharType="begin"/>
        </w:r>
        <w:r>
          <w:instrText xml:space="preserve"> PAGE   \* MERGEFORMAT </w:instrText>
        </w:r>
        <w:r>
          <w:fldChar w:fldCharType="separate"/>
        </w:r>
        <w:r w:rsidR="004B5B4C">
          <w:t>2</w:t>
        </w:r>
        <w:r w:rsidR="004B5B4C">
          <w:t>0</w:t>
        </w:r>
        <w:r>
          <w:fldChar w:fldCharType="end"/>
        </w:r>
      </w:p>
    </w:sdtContent>
  </w:sdt>
  <w:p w14:paraId="56B16CFF" w14:textId="77777777" w:rsidR="007E1815" w:rsidRDefault="007E18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885B" w14:textId="77777777" w:rsidR="007E1815" w:rsidRDefault="007E1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065CE" w14:textId="77777777" w:rsidR="00E35FAE" w:rsidRDefault="00E35FAE" w:rsidP="007E1815">
      <w:r>
        <w:separator/>
      </w:r>
    </w:p>
  </w:footnote>
  <w:footnote w:type="continuationSeparator" w:id="0">
    <w:p w14:paraId="289BB8FD" w14:textId="77777777" w:rsidR="00E35FAE" w:rsidRDefault="00E35FAE" w:rsidP="007E1815">
      <w:r>
        <w:continuationSeparator/>
      </w:r>
    </w:p>
  </w:footnote>
  <w:footnote w:id="1">
    <w:p w14:paraId="1457CDC2" w14:textId="79793824" w:rsidR="007E1815" w:rsidRPr="00222AAB" w:rsidRDefault="007E1815" w:rsidP="007E1815">
      <w:pPr>
        <w:pStyle w:val="FootnoteText"/>
        <w:rPr>
          <w:rFonts w:cstheme="minorHAnsi"/>
        </w:rPr>
      </w:pPr>
      <w:r>
        <w:rPr>
          <w:rStyle w:val="FootnoteReference"/>
          <w:rFonts w:cstheme="minorHAnsi"/>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όπως τροποποιήθηκε με τον κανονισμό (ΕΕ) 2024/1623 (</w:t>
      </w:r>
      <w:hyperlink r:id="rId1" w:history="1">
        <w:r>
          <w:rPr>
            <w:rStyle w:val="Hyperlink"/>
            <w:color w:val="800080"/>
          </w:rPr>
          <w:t>ΕΕ L 176 της 27.6.2013, σ. 1</w:t>
        </w:r>
      </w:hyperlink>
      <w:r>
        <w:t>)·</w:t>
      </w:r>
      <w:r>
        <w:rPr>
          <w:color w:val="800080"/>
          <w:u w:val="single"/>
        </w:rPr>
        <w:t xml:space="preserve"> </w:t>
      </w:r>
      <w:hyperlink r:id="rId2" w:history="1">
        <w:r>
          <w:rPr>
            <w:rStyle w:val="Hyperlink"/>
          </w:rPr>
          <w:t>Κανονισμός - ΕΕ - 2024/1623 - EL - EUR-</w:t>
        </w:r>
        <w:proofErr w:type="spellStart"/>
        <w:r>
          <w:rPr>
            <w:rStyle w:val="Hyperlink"/>
          </w:rPr>
          <w:t>Lex</w:t>
        </w:r>
        <w:proofErr w:type="spellEnd"/>
        <w:r>
          <w:rPr>
            <w:rStyle w:val="Hyperlink"/>
          </w:rPr>
          <w:t xml:space="preserve"> (europa.eu)</w:t>
        </w:r>
      </w:hyperlink>
      <w:r>
        <w:rPr>
          <w:color w:val="444444"/>
        </w:rPr>
        <w:t>)</w:t>
      </w:r>
      <w:r>
        <w:t>.</w:t>
      </w:r>
    </w:p>
  </w:footnote>
  <w:footnote w:id="2">
    <w:p w14:paraId="077D46E6" w14:textId="77777777" w:rsidR="007E1815" w:rsidRPr="00222AAB" w:rsidRDefault="007E1815" w:rsidP="007E1815">
      <w:pPr>
        <w:pStyle w:val="FootnoteText"/>
        <w:rPr>
          <w:rFonts w:cstheme="minorHAnsi"/>
        </w:rPr>
      </w:pPr>
      <w:r>
        <w:rPr>
          <w:rStyle w:val="FootnoteReference"/>
          <w:rFonts w:cstheme="minorHAnsi"/>
        </w:rPr>
        <w:footnoteRef/>
      </w:r>
      <w:r>
        <w:tab/>
      </w:r>
      <w:r>
        <w:t xml:space="preserve">ΚΑΤ’ ΕΞΟΥΣΙΟΔΟΤΗΣΗ ΚΑΝΟΝΙΣΜΟΣ (ΕΕ) 2015/61 ΤΗΣ ΕΠΙΤΡΟΠΉΣ, της 10ης Οκτωβρίου 2014, για τη συμπλήρωση του κανονισμού (ΕΕ) αριθ. 575/2013 του Ευρωπαϊκού Κοινοβουλίου και του Συμβουλίου όσον αφορά την απαίτηση κάλυψης του κινδύνου ρευστότητας για τα πιστωτικά ιδρύματα (ΕΕ L 11 της 17.1.2015, σ. 1). </w:t>
      </w:r>
    </w:p>
  </w:footnote>
  <w:footnote w:id="3">
    <w:p w14:paraId="6C159A9A" w14:textId="77777777" w:rsidR="007E1815" w:rsidRPr="00222AAB" w:rsidRDefault="007E1815" w:rsidP="007E1815">
      <w:pPr>
        <w:pStyle w:val="FootnoteText"/>
        <w:rPr>
          <w:rFonts w:cstheme="minorHAnsi"/>
        </w:rPr>
      </w:pPr>
      <w:r>
        <w:rPr>
          <w:rStyle w:val="FootnoteReference"/>
          <w:rFonts w:cstheme="minorHAnsi"/>
        </w:rPr>
        <w:footnoteRef/>
      </w:r>
      <w:r>
        <w:tab/>
      </w:r>
      <w:r>
        <w:t>ΟΔΗΓΙΑ 94/19/ΕΚ ΤΟΥ ΕΥΡΩΠΑΪΚΟΥ ΚΟΙΝΟΒΟΥΛΙΟΥ ΚΑΙ ΤΟΥ ΣΥΜΒΟΥΛΙΟΥ, της 30ής Μαΐου 1994, περί των συστημάτων εγγύησης των καταθέσεων (ΕΕ L 135 της 31.5.1994, σ. 5).</w:t>
      </w:r>
    </w:p>
  </w:footnote>
  <w:footnote w:id="4">
    <w:p w14:paraId="13D8F6DE" w14:textId="77777777" w:rsidR="007E1815" w:rsidRPr="00222AAB" w:rsidRDefault="007E1815" w:rsidP="007E1815">
      <w:pPr>
        <w:pStyle w:val="FootnoteText"/>
        <w:rPr>
          <w:rFonts w:cstheme="minorHAnsi"/>
        </w:rPr>
      </w:pPr>
      <w:r>
        <w:rPr>
          <w:rStyle w:val="FootnoteReference"/>
          <w:rFonts w:cstheme="minorHAnsi"/>
        </w:rPr>
        <w:footnoteRef/>
      </w:r>
      <w:r>
        <w:tab/>
      </w:r>
      <w:r>
        <w:t>ΟΔΗΓΙΑ 2014/49/ΕΕ ΤΟΥ ΕΥΡΩΠΑΪΚΟΥ ΚΟΙΝΟΒΟΥΛΙΟΥ ΚΑΙ ΤΟΥ ΣΥΜΒΟΥΛΙΟΥ, της 16ης Απριλίου 2014, περί των συστημάτων εγγύησης των καταθέσεων (ΕΕ L 173 της 12.6.2014, σ. 149).</w:t>
      </w:r>
    </w:p>
  </w:footnote>
  <w:footnote w:id="5">
    <w:p w14:paraId="05834BF0" w14:textId="77777777" w:rsidR="007E1815" w:rsidRPr="00222AAB" w:rsidRDefault="007E1815" w:rsidP="007E1815">
      <w:pPr>
        <w:pStyle w:val="FootnoteText"/>
        <w:rPr>
          <w:rFonts w:cstheme="minorHAnsi"/>
        </w:rPr>
      </w:pPr>
      <w:r>
        <w:rPr>
          <w:rStyle w:val="FootnoteReference"/>
          <w:rFonts w:cstheme="minorHAnsi"/>
        </w:rPr>
        <w:footnoteRef/>
      </w:r>
      <w:r>
        <w:tab/>
      </w:r>
      <w:r>
        <w:t>ΚΑΤ’ ΕΞΟΥΣΙΟΔΟΤΗΣΗ ΚΑΝΟΝΙΣΜΟΣ (ΕΕ) 2017/208 ΤΗΣ ΕΠΙΤΡΟΠΉΣ, της 31ης Οκτωβρίου 2016, για τη συμπλήρωση του κανονισμού (ΕΕ) αριθ. 575/2013 του Ευρωπαϊκού Κοινοβουλίου και του Συμβουλίου όσον αφορά τα ρυθμιστικά τεχνικά πρότυπα για τις συμπληρωματικές εκροές ρευστότητας που αντιστοιχούν σε ανάγκες παροχής εξασφαλίσεων που προκύπτουν από τον αντίκτυπο σεναρίου δυσμενών εξελίξεων στην αγορά στις συναλλαγές παραγώγων ενός ιδρύματος (ΕΕ L 33 της 8.2.2017, σ. 14).</w:t>
      </w:r>
    </w:p>
  </w:footnote>
  <w:footnote w:id="6">
    <w:p w14:paraId="1904ECE3" w14:textId="77777777" w:rsidR="007E1815" w:rsidRPr="00222AAB" w:rsidRDefault="007E1815" w:rsidP="007E1815">
      <w:pPr>
        <w:pStyle w:val="FootnoteText"/>
        <w:rPr>
          <w:rFonts w:cstheme="minorHAnsi"/>
        </w:rPr>
      </w:pPr>
      <w:r>
        <w:rPr>
          <w:rStyle w:val="FootnoteReference"/>
          <w:rFonts w:cstheme="minorHAnsi"/>
        </w:rPr>
        <w:footnoteRef/>
      </w:r>
      <w:r>
        <w:tab/>
      </w:r>
      <w:r>
        <w:t>ΕΚΤΕΛΕΣΤΙΚΟΣ ΚΑΝΟΝΙΣΜΟΣ (ΕΕ) αριθ. 680/2014 ΤΗΣ ΕΠΙΤΡΟΠΗΣ,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του Ευρωπαϊκού Κοινοβουλίου και του Συμβουλίου (ΕΕ L 191 της 28.6.2014, σ. 1).</w:t>
      </w:r>
    </w:p>
  </w:footnote>
  <w:footnote w:id="7">
    <w:p w14:paraId="6D008ADE" w14:textId="77777777" w:rsidR="007E1815" w:rsidRPr="00222AAB" w:rsidRDefault="007E1815" w:rsidP="007E1815">
      <w:pPr>
        <w:pStyle w:val="FootnoteText"/>
        <w:rPr>
          <w:rFonts w:cstheme="minorHAnsi"/>
        </w:rPr>
      </w:pPr>
      <w:r>
        <w:rPr>
          <w:rStyle w:val="FootnoteReference"/>
          <w:rFonts w:cstheme="minorHAnsi"/>
        </w:rPr>
        <w:footnoteRef/>
      </w:r>
      <w:r>
        <w:tab/>
      </w:r>
      <w:r>
        <w:t>ΟΔΗΓΙΑ 2009/65/ΕΚ ΤΟΥ ΕΥΡΩΠΑΪΚΟΥ ΚΟΙΝΟΒΟΥΛΙΟΥ ΚΑΙ ΤΟΥ ΣΥΜΒΟΥΛΙΟΥ,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 L 302 της 17.11.2009, σ.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F7A96" w14:textId="5E4CC2F8" w:rsidR="007E1815" w:rsidRDefault="007A2766">
    <w:pPr>
      <w:pStyle w:val="Header"/>
    </w:pPr>
    <w:r>
      <w:rPr>
        <w:noProof/>
      </w:rPr>
      <mc:AlternateContent>
        <mc:Choice Requires="wps">
          <w:drawing>
            <wp:anchor distT="0" distB="0" distL="0" distR="0" simplePos="0" relativeHeight="251659264" behindDoc="0" locked="0" layoutInCell="1" allowOverlap="1" wp14:anchorId="41E088A6" wp14:editId="7DD786BD">
              <wp:simplePos x="635" y="635"/>
              <wp:positionH relativeFrom="page">
                <wp:align>left</wp:align>
              </wp:positionH>
              <wp:positionV relativeFrom="page">
                <wp:align>top</wp:align>
              </wp:positionV>
              <wp:extent cx="1273175" cy="376555"/>
              <wp:effectExtent l="0" t="0" r="3175" b="4445"/>
              <wp:wrapNone/>
              <wp:docPr id="103177049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E088A6"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59903643" w14:textId="0C7E9597"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9F57" w14:textId="016BF112" w:rsidR="007E1815" w:rsidRDefault="007A2766">
    <w:pPr>
      <w:pStyle w:val="Header"/>
    </w:pPr>
    <w:r>
      <w:rPr>
        <w:noProof/>
      </w:rPr>
      <mc:AlternateContent>
        <mc:Choice Requires="wps">
          <w:drawing>
            <wp:anchor distT="0" distB="0" distL="0" distR="0" simplePos="0" relativeHeight="251660288" behindDoc="0" locked="0" layoutInCell="1" allowOverlap="1" wp14:anchorId="250BF424" wp14:editId="0EC4EE14">
              <wp:simplePos x="914400" y="447675"/>
              <wp:positionH relativeFrom="page">
                <wp:align>left</wp:align>
              </wp:positionH>
              <wp:positionV relativeFrom="page">
                <wp:align>top</wp:align>
              </wp:positionV>
              <wp:extent cx="1273175" cy="376555"/>
              <wp:effectExtent l="0" t="0" r="3175" b="4445"/>
              <wp:wrapNone/>
              <wp:docPr id="99702402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50BF424"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14C209D5" w14:textId="72FFFDC7"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8B745" w14:textId="7C73CB45" w:rsidR="007E1815" w:rsidRDefault="007A2766">
    <w:pPr>
      <w:pStyle w:val="Header"/>
    </w:pPr>
    <w:r>
      <w:rPr>
        <w:noProof/>
      </w:rPr>
      <mc:AlternateContent>
        <mc:Choice Requires="wps">
          <w:drawing>
            <wp:anchor distT="0" distB="0" distL="0" distR="0" simplePos="0" relativeHeight="251658240" behindDoc="0" locked="0" layoutInCell="1" allowOverlap="1" wp14:anchorId="014A0BC8" wp14:editId="5D025CFA">
              <wp:simplePos x="635" y="635"/>
              <wp:positionH relativeFrom="page">
                <wp:align>left</wp:align>
              </wp:positionH>
              <wp:positionV relativeFrom="page">
                <wp:align>top</wp:align>
              </wp:positionV>
              <wp:extent cx="1273175" cy="376555"/>
              <wp:effectExtent l="0" t="0" r="3175" b="4445"/>
              <wp:wrapNone/>
              <wp:docPr id="357488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14A0BC8"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756F2BF3" w14:textId="44F604B9" w:rsidR="007A2766" w:rsidRPr="007A2766" w:rsidRDefault="007A2766" w:rsidP="007A2766">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E107980"/>
    <w:lvl w:ilvl="0">
      <w:start w:val="1"/>
      <w:numFmt w:val="decimal"/>
      <w:pStyle w:val="ListNumber"/>
      <w:lvlText w:val="%1."/>
      <w:lvlJc w:val="left"/>
      <w:pPr>
        <w:tabs>
          <w:tab w:val="num" w:pos="360"/>
        </w:tabs>
        <w:ind w:left="360" w:hanging="360"/>
      </w:pPr>
    </w:lvl>
  </w:abstractNum>
  <w:abstractNum w:abstractNumId="1"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35AD1"/>
    <w:multiLevelType w:val="multilevel"/>
    <w:tmpl w:val="96CCAFDC"/>
    <w:lvl w:ilvl="0">
      <w:start w:val="1"/>
      <mc:AlternateContent>
        <mc:Choice Requires="w14">
          <w:numFmt w:val="custom" w:format="α, β, γ, ..."/>
        </mc:Choice>
        <mc:Fallback>
          <w:numFmt w:val="decimal"/>
        </mc:Fallback>
      </mc:AlternateContent>
      <w:lvlText w:val="%1)"/>
      <w:lvlJc w:val="left"/>
      <w:rPr>
        <w:rFonts w:hint="default"/>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7"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23D0A"/>
    <w:multiLevelType w:val="multilevel"/>
    <w:tmpl w:val="597A059A"/>
    <w:lvl w:ilvl="0">
      <w:start w:val="1"/>
      <mc:AlternateContent>
        <mc:Choice Requires="w14">
          <w:numFmt w:val="custom" w:format="α, β, γ, ..."/>
        </mc:Choice>
        <mc:Fallback>
          <w:numFmt w:val="decimal"/>
        </mc:Fallback>
      </mc:AlternateContent>
      <w:lvlText w:val="%1)"/>
      <w:lvlJc w:val="left"/>
      <w:rPr>
        <w:rFonts w:hint="default"/>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C1F7D"/>
    <w:multiLevelType w:val="multilevel"/>
    <w:tmpl w:val="E4A6419C"/>
    <w:lvl w:ilvl="0">
      <w:start w:val="1"/>
      <w:numFmt w:val="decimal"/>
      <w:lvlText w:val="%1."/>
      <w:lvlJc w:val="left"/>
      <w:pPr>
        <w:tabs>
          <w:tab w:val="num" w:pos="360"/>
        </w:tabs>
        <w:ind w:left="357" w:hanging="357"/>
      </w:pPr>
      <w:rPr>
        <w:rFonts w:hint="default"/>
      </w:rPr>
    </w:lvl>
    <w:lvl w:ilvl="1">
      <w:start w:val="1"/>
      <mc:AlternateContent>
        <mc:Choice Requires="w14">
          <w:numFmt w:val="custom" w:format="α, β, γ, ..."/>
        </mc:Choice>
        <mc:Fallback>
          <w:numFmt w:val="decimal"/>
        </mc:Fallback>
      </mc:AlternateContent>
      <w:lvlText w:val="%2."/>
      <w:lvlJc w:val="left"/>
      <w:pPr>
        <w:ind w:left="1074" w:hanging="360"/>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num w:numId="1" w16cid:durableId="183133071">
    <w:abstractNumId w:val="0"/>
  </w:num>
  <w:num w:numId="2" w16cid:durableId="1980108966">
    <w:abstractNumId w:val="1"/>
  </w:num>
  <w:num w:numId="3" w16cid:durableId="1361467688">
    <w:abstractNumId w:val="8"/>
  </w:num>
  <w:num w:numId="4" w16cid:durableId="1579946161">
    <w:abstractNumId w:val="2"/>
  </w:num>
  <w:num w:numId="5" w16cid:durableId="1059480742">
    <w:abstractNumId w:val="4"/>
  </w:num>
  <w:num w:numId="6" w16cid:durableId="1262034091">
    <w:abstractNumId w:val="10"/>
  </w:num>
  <w:num w:numId="7" w16cid:durableId="232351393">
    <w:abstractNumId w:val="6"/>
  </w:num>
  <w:num w:numId="8" w16cid:durableId="1716541516">
    <w:abstractNumId w:val="5"/>
  </w:num>
  <w:num w:numId="9" w16cid:durableId="52235570">
    <w:abstractNumId w:val="3"/>
  </w:num>
  <w:num w:numId="10" w16cid:durableId="1685591171">
    <w:abstractNumId w:val="7"/>
  </w:num>
  <w:num w:numId="11" w16cid:durableId="1693339185">
    <w:abstractNumId w:val="9"/>
  </w:num>
  <w:num w:numId="12" w16cid:durableId="12057535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6069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674B5"/>
    <w:rsid w:val="001B236F"/>
    <w:rsid w:val="004B5B4C"/>
    <w:rsid w:val="004C7B23"/>
    <w:rsid w:val="004E3F4D"/>
    <w:rsid w:val="0064455C"/>
    <w:rsid w:val="007A2766"/>
    <w:rsid w:val="007E1815"/>
    <w:rsid w:val="009674B5"/>
    <w:rsid w:val="00AE4F96"/>
    <w:rsid w:val="00BA0A8F"/>
    <w:rsid w:val="00C02D72"/>
    <w:rsid w:val="00E35FAE"/>
    <w:rsid w:val="00F11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A55B"/>
  <w15:chartTrackingRefBased/>
  <w15:docId w15:val="{0B778350-80D1-4ED0-B9FA-2055CABC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81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7E1815"/>
    <w:pPr>
      <w:spacing w:before="240" w:after="240" w:line="240" w:lineRule="auto"/>
    </w:pPr>
    <w:rPr>
      <w:rFonts w:asciiTheme="majorHAnsi" w:eastAsiaTheme="majorEastAsia" w:hAnsiTheme="majorHAnsi" w:cstheme="majorBidi"/>
      <w:bCs/>
      <w:color w:val="44546A" w:themeColor="text2"/>
      <w:sz w:val="32"/>
      <w:szCs w:val="24"/>
    </w:rPr>
  </w:style>
  <w:style w:type="table" w:styleId="TableGrid">
    <w:name w:val="Table Grid"/>
    <w:basedOn w:val="TableProfessional"/>
    <w:uiPriority w:val="59"/>
    <w:rsid w:val="007E1815"/>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7E181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E1815"/>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7E1815"/>
    <w:rPr>
      <w:rFonts w:asciiTheme="minorHAnsi" w:hAnsiTheme="minorHAnsi"/>
      <w:sz w:val="22"/>
      <w:szCs w:val="18"/>
      <w:vertAlign w:val="superscript"/>
    </w:rPr>
  </w:style>
  <w:style w:type="character" w:styleId="Hyperlink">
    <w:name w:val="Hyperlink"/>
    <w:basedOn w:val="DefaultParagraphFont"/>
    <w:uiPriority w:val="99"/>
    <w:rsid w:val="007E1815"/>
    <w:rPr>
      <w:color w:val="0563C1" w:themeColor="hyperlink"/>
      <w:u w:val="single"/>
    </w:rPr>
  </w:style>
  <w:style w:type="paragraph" w:customStyle="1" w:styleId="Annexetitre">
    <w:name w:val="Annexe titre"/>
    <w:basedOn w:val="Normal"/>
    <w:next w:val="Normal"/>
    <w:rsid w:val="007E181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7E181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7E1815"/>
    <w:pPr>
      <w:ind w:left="720"/>
    </w:pPr>
    <w:rPr>
      <w:rFonts w:ascii="Calibri" w:eastAsia="Calibri" w:hAnsi="Calibri" w:cs="Times New Roman"/>
      <w:szCs w:val="22"/>
    </w:rPr>
  </w:style>
  <w:style w:type="character" w:customStyle="1" w:styleId="InstructionsTextChar">
    <w:name w:val="Instructions Text Char"/>
    <w:link w:val="InstructionsText"/>
    <w:locked/>
    <w:rsid w:val="007E1815"/>
    <w:rPr>
      <w:rFonts w:ascii="Times New Roman" w:eastAsia="Times New Roman" w:hAnsi="Times New Roman" w:cs="Times New Roman"/>
      <w:lang w:eastAsia="de-DE"/>
    </w:rPr>
  </w:style>
  <w:style w:type="paragraph" w:customStyle="1" w:styleId="InstructionsText">
    <w:name w:val="Instructions Text"/>
    <w:basedOn w:val="Normal"/>
    <w:link w:val="InstructionsTextChar"/>
    <w:autoRedefine/>
    <w:rsid w:val="007E1815"/>
    <w:pPr>
      <w:spacing w:after="120"/>
      <w:jc w:val="both"/>
    </w:pPr>
    <w:rPr>
      <w:rFonts w:ascii="Times New Roman" w:eastAsia="Times New Roman" w:hAnsi="Times New Roman" w:cs="Times New Roman"/>
      <w:szCs w:val="22"/>
      <w:lang w:eastAsia="de-DE"/>
    </w:rPr>
  </w:style>
  <w:style w:type="paragraph" w:customStyle="1" w:styleId="TableParagraph">
    <w:name w:val="Table Paragraph"/>
    <w:basedOn w:val="Normal"/>
    <w:uiPriority w:val="1"/>
    <w:qFormat/>
    <w:rsid w:val="007E1815"/>
    <w:pPr>
      <w:widowControl w:val="0"/>
    </w:pPr>
    <w:rPr>
      <w:rFonts w:eastAsiaTheme="minorHAnsi"/>
      <w:szCs w:val="22"/>
    </w:rPr>
  </w:style>
  <w:style w:type="paragraph" w:styleId="ListNumber">
    <w:name w:val="List Number"/>
    <w:basedOn w:val="Normal"/>
    <w:uiPriority w:val="9"/>
    <w:qFormat/>
    <w:rsid w:val="007E1815"/>
    <w:pPr>
      <w:numPr>
        <w:numId w:val="1"/>
      </w:numPr>
      <w:contextualSpacing/>
    </w:pPr>
  </w:style>
  <w:style w:type="table" w:styleId="TableProfessional">
    <w:name w:val="Table Professional"/>
    <w:basedOn w:val="TableNormal"/>
    <w:uiPriority w:val="99"/>
    <w:semiHidden/>
    <w:unhideWhenUsed/>
    <w:rsid w:val="007E1815"/>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7E1815"/>
    <w:pPr>
      <w:tabs>
        <w:tab w:val="center" w:pos="4513"/>
        <w:tab w:val="right" w:pos="9026"/>
      </w:tabs>
    </w:pPr>
  </w:style>
  <w:style w:type="character" w:customStyle="1" w:styleId="HeaderChar">
    <w:name w:val="Header Char"/>
    <w:basedOn w:val="DefaultParagraphFont"/>
    <w:link w:val="Header"/>
    <w:uiPriority w:val="99"/>
    <w:rsid w:val="007E1815"/>
    <w:rPr>
      <w:rFonts w:eastAsiaTheme="minorEastAsia"/>
      <w:szCs w:val="24"/>
    </w:rPr>
  </w:style>
  <w:style w:type="paragraph" w:styleId="Footer">
    <w:name w:val="footer"/>
    <w:basedOn w:val="Normal"/>
    <w:link w:val="FooterChar"/>
    <w:uiPriority w:val="99"/>
    <w:unhideWhenUsed/>
    <w:rsid w:val="007E1815"/>
    <w:pPr>
      <w:tabs>
        <w:tab w:val="center" w:pos="4513"/>
        <w:tab w:val="right" w:pos="9026"/>
      </w:tabs>
    </w:pPr>
  </w:style>
  <w:style w:type="character" w:customStyle="1" w:styleId="FooterChar">
    <w:name w:val="Footer Char"/>
    <w:basedOn w:val="DefaultParagraphFont"/>
    <w:link w:val="Footer"/>
    <w:uiPriority w:val="99"/>
    <w:rsid w:val="007E181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DDC6FF-1D12-4033-B8CB-E66F65553A41}"/>
</file>

<file path=customXml/itemProps2.xml><?xml version="1.0" encoding="utf-8"?>
<ds:datastoreItem xmlns:ds="http://schemas.openxmlformats.org/officeDocument/2006/customXml" ds:itemID="{D7E09C0F-105E-45CF-875B-C41E3B11B420}"/>
</file>

<file path=customXml/itemProps3.xml><?xml version="1.0" encoding="utf-8"?>
<ds:datastoreItem xmlns:ds="http://schemas.openxmlformats.org/officeDocument/2006/customXml" ds:itemID="{A908178A-F17C-4E75-B6BD-C99512ADD3CF}"/>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64</TotalTime>
  <Pages>23</Pages>
  <Words>7814</Words>
  <Characters>45870</Characters>
  <Application>Microsoft Office Word</Application>
  <DocSecurity>0</DocSecurity>
  <Lines>1019</Lines>
  <Paragraphs>409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MATSAS Michail (DGT)</cp:lastModifiedBy>
  <cp:revision>7</cp:revision>
  <dcterms:created xsi:type="dcterms:W3CDTF">2021-03-11T12:04:00Z</dcterms:created>
  <dcterms:modified xsi:type="dcterms:W3CDTF">2024-10-14T08:43:00Z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2217bcf,3d7f9181,3b6d611a</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2024-09-26T14:46:14Z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fedb6b11-7bd8-4377-8abd-50858ab043d7</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